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黑体" w:hAnsi="黑体" w:eastAsia="黑体" w:cs="黑体"/>
          <w:sz w:val="32"/>
          <w:szCs w:val="32"/>
        </w:rPr>
      </w:pPr>
    </w:p>
    <w:p>
      <w:pPr>
        <w:jc w:val="center"/>
        <w:rPr>
          <w:rFonts w:eastAsia="黑体"/>
          <w:b/>
          <w:sz w:val="36"/>
          <w:szCs w:val="36"/>
        </w:rPr>
      </w:pPr>
      <w:r>
        <w:rPr>
          <w:rFonts w:eastAsia="华文中宋"/>
          <w:b/>
          <w:sz w:val="36"/>
          <w:szCs w:val="36"/>
        </w:rPr>
        <w:t>“越惠保”（2021年）产品方案</w:t>
      </w:r>
    </w:p>
    <w:tbl>
      <w:tblPr>
        <w:tblStyle w:val="4"/>
        <w:tblpPr w:leftFromText="180" w:rightFromText="180" w:vertAnchor="page" w:horzAnchor="page" w:tblpX="1309" w:tblpY="2718"/>
        <w:tblW w:w="9717" w:type="dxa"/>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1474"/>
        <w:gridCol w:w="4208"/>
        <w:gridCol w:w="4035"/>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52" w:hRule="atLeast"/>
        </w:trPr>
        <w:tc>
          <w:tcPr>
            <w:tcW w:w="1474" w:type="dxa"/>
            <w:shd w:val="clear" w:color="auto" w:fill="auto"/>
            <w:tcMar>
              <w:top w:w="15" w:type="dxa"/>
              <w:left w:w="15" w:type="dxa"/>
              <w:bottom w:w="0" w:type="dxa"/>
              <w:right w:w="15" w:type="dxa"/>
            </w:tcMar>
            <w:vAlign w:val="center"/>
          </w:tcPr>
          <w:p>
            <w:pPr>
              <w:jc w:val="center"/>
              <w:rPr>
                <w:b/>
                <w:bCs/>
                <w:sz w:val="24"/>
              </w:rPr>
            </w:pPr>
            <w:r>
              <w:rPr>
                <w:b/>
                <w:bCs/>
                <w:sz w:val="24"/>
              </w:rPr>
              <w:t>产品名称</w:t>
            </w:r>
          </w:p>
        </w:tc>
        <w:tc>
          <w:tcPr>
            <w:tcW w:w="8243" w:type="dxa"/>
            <w:gridSpan w:val="2"/>
            <w:shd w:val="clear" w:color="auto" w:fill="auto"/>
            <w:tcMar>
              <w:top w:w="15" w:type="dxa"/>
              <w:left w:w="15" w:type="dxa"/>
              <w:bottom w:w="0" w:type="dxa"/>
              <w:right w:w="15" w:type="dxa"/>
            </w:tcMar>
            <w:vAlign w:val="center"/>
          </w:tcPr>
          <w:p>
            <w:pPr>
              <w:ind w:firstLine="2640" w:firstLineChars="1100"/>
              <w:outlineLvl w:val="0"/>
              <w:rPr>
                <w:sz w:val="24"/>
              </w:rPr>
            </w:pPr>
            <w:r>
              <w:rPr>
                <w:sz w:val="24"/>
              </w:rPr>
              <w:t>越惠保（2021年产品）</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877" w:hRule="atLeast"/>
        </w:trPr>
        <w:tc>
          <w:tcPr>
            <w:tcW w:w="1474" w:type="dxa"/>
            <w:shd w:val="clear" w:color="auto" w:fill="auto"/>
            <w:tcMar>
              <w:top w:w="15" w:type="dxa"/>
              <w:left w:w="15" w:type="dxa"/>
              <w:bottom w:w="0" w:type="dxa"/>
              <w:right w:w="15" w:type="dxa"/>
            </w:tcMar>
            <w:vAlign w:val="center"/>
          </w:tcPr>
          <w:p>
            <w:pPr>
              <w:jc w:val="center"/>
              <w:rPr>
                <w:b/>
                <w:bCs/>
                <w:sz w:val="24"/>
              </w:rPr>
            </w:pPr>
            <w:r>
              <w:rPr>
                <w:rFonts w:hint="eastAsia"/>
                <w:b/>
                <w:bCs/>
                <w:sz w:val="24"/>
              </w:rPr>
              <w:t>承保机构</w:t>
            </w:r>
          </w:p>
        </w:tc>
        <w:tc>
          <w:tcPr>
            <w:tcW w:w="8243" w:type="dxa"/>
            <w:gridSpan w:val="2"/>
            <w:shd w:val="clear" w:color="auto" w:fill="auto"/>
            <w:tcMar>
              <w:top w:w="15" w:type="dxa"/>
              <w:left w:w="15" w:type="dxa"/>
              <w:bottom w:w="0" w:type="dxa"/>
              <w:right w:w="15" w:type="dxa"/>
            </w:tcMar>
            <w:vAlign w:val="center"/>
          </w:tcPr>
          <w:p>
            <w:pPr>
              <w:outlineLvl w:val="0"/>
              <w:rPr>
                <w:rFonts w:asciiTheme="minorEastAsia" w:hAnsiTheme="minorEastAsia" w:eastAsiaTheme="minorEastAsia"/>
                <w:sz w:val="20"/>
                <w:szCs w:val="20"/>
              </w:rPr>
            </w:pPr>
            <w:r>
              <w:rPr>
                <w:rFonts w:hint="eastAsia" w:asciiTheme="minorEastAsia" w:hAnsiTheme="minorEastAsia" w:eastAsiaTheme="minorEastAsia"/>
                <w:sz w:val="20"/>
                <w:szCs w:val="20"/>
              </w:rPr>
              <w:t>中国太平洋人寿保险股份有限公司浙江分公司、</w:t>
            </w:r>
            <w:r>
              <w:rPr>
                <w:rFonts w:hint="eastAsia" w:asciiTheme="minorEastAsia" w:hAnsiTheme="minorEastAsia" w:eastAsiaTheme="minorEastAsia"/>
                <w:kern w:val="0"/>
                <w:sz w:val="20"/>
                <w:szCs w:val="20"/>
              </w:rPr>
              <w:t>中国人民财产保险股份有限公司绍兴市分公司、</w:t>
            </w:r>
            <w:r>
              <w:rPr>
                <w:rFonts w:hint="eastAsia" w:asciiTheme="minorEastAsia" w:hAnsiTheme="minorEastAsia" w:eastAsiaTheme="minorEastAsia"/>
                <w:sz w:val="20"/>
                <w:szCs w:val="20"/>
              </w:rPr>
              <w:t>中国人寿保险股份有限公司绍兴分公司、</w:t>
            </w:r>
            <w:r>
              <w:rPr>
                <w:rFonts w:hint="eastAsia" w:asciiTheme="minorEastAsia" w:hAnsiTheme="minorEastAsia" w:eastAsiaTheme="minorEastAsia"/>
                <w:kern w:val="0"/>
                <w:sz w:val="20"/>
                <w:szCs w:val="20"/>
              </w:rPr>
              <w:t>中华联合财产保险股份有限公司浙江分公司、平安养老保险股份有限公司浙江分公司</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98" w:hRule="atLeast"/>
        </w:trPr>
        <w:tc>
          <w:tcPr>
            <w:tcW w:w="1474" w:type="dxa"/>
            <w:shd w:val="clear" w:color="auto" w:fill="auto"/>
            <w:tcMar>
              <w:top w:w="15" w:type="dxa"/>
              <w:left w:w="15" w:type="dxa"/>
              <w:bottom w:w="0" w:type="dxa"/>
              <w:right w:w="15" w:type="dxa"/>
            </w:tcMar>
            <w:vAlign w:val="center"/>
          </w:tcPr>
          <w:p>
            <w:pPr>
              <w:jc w:val="center"/>
              <w:rPr>
                <w:b/>
                <w:bCs/>
                <w:sz w:val="24"/>
              </w:rPr>
            </w:pPr>
            <w:r>
              <w:rPr>
                <w:rFonts w:hint="eastAsia"/>
                <w:b/>
                <w:bCs/>
                <w:sz w:val="24"/>
              </w:rPr>
              <w:t>主承保单位</w:t>
            </w:r>
          </w:p>
        </w:tc>
        <w:tc>
          <w:tcPr>
            <w:tcW w:w="8243" w:type="dxa"/>
            <w:gridSpan w:val="2"/>
            <w:shd w:val="clear" w:color="auto" w:fill="auto"/>
            <w:tcMar>
              <w:top w:w="15" w:type="dxa"/>
              <w:left w:w="15" w:type="dxa"/>
              <w:bottom w:w="0" w:type="dxa"/>
              <w:right w:w="15" w:type="dxa"/>
            </w:tcMar>
            <w:vAlign w:val="center"/>
          </w:tcPr>
          <w:p>
            <w:pPr>
              <w:jc w:val="center"/>
              <w:outlineLvl w:val="0"/>
              <w:rPr>
                <w:rFonts w:asciiTheme="minorEastAsia" w:hAnsiTheme="minorEastAsia" w:eastAsiaTheme="minorEastAsia"/>
                <w:sz w:val="20"/>
                <w:szCs w:val="20"/>
              </w:rPr>
            </w:pPr>
            <w:r>
              <w:rPr>
                <w:rFonts w:hint="eastAsia" w:asciiTheme="minorEastAsia" w:hAnsiTheme="minorEastAsia" w:eastAsiaTheme="minorEastAsia"/>
                <w:sz w:val="20"/>
                <w:szCs w:val="20"/>
              </w:rPr>
              <w:t>中国太平洋人寿保险股份有限公司浙江分公司</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43" w:hRule="atLeast"/>
        </w:trPr>
        <w:tc>
          <w:tcPr>
            <w:tcW w:w="1474" w:type="dxa"/>
            <w:shd w:val="clear" w:color="auto" w:fill="auto"/>
            <w:tcMar>
              <w:top w:w="15" w:type="dxa"/>
              <w:left w:w="15" w:type="dxa"/>
              <w:bottom w:w="0" w:type="dxa"/>
              <w:right w:w="15" w:type="dxa"/>
            </w:tcMar>
            <w:vAlign w:val="center"/>
          </w:tcPr>
          <w:p>
            <w:pPr>
              <w:jc w:val="center"/>
              <w:rPr>
                <w:b/>
                <w:bCs/>
                <w:sz w:val="24"/>
              </w:rPr>
            </w:pPr>
            <w:r>
              <w:rPr>
                <w:b/>
                <w:bCs/>
                <w:sz w:val="24"/>
              </w:rPr>
              <w:t>产品条款</w:t>
            </w:r>
          </w:p>
        </w:tc>
        <w:tc>
          <w:tcPr>
            <w:tcW w:w="8243" w:type="dxa"/>
            <w:gridSpan w:val="2"/>
            <w:shd w:val="clear" w:color="auto" w:fill="auto"/>
            <w:tcMar>
              <w:top w:w="15" w:type="dxa"/>
              <w:left w:w="15" w:type="dxa"/>
              <w:bottom w:w="0" w:type="dxa"/>
              <w:right w:w="15" w:type="dxa"/>
            </w:tcMar>
            <w:vAlign w:val="center"/>
          </w:tcPr>
          <w:p>
            <w:pPr>
              <w:jc w:val="center"/>
              <w:outlineLvl w:val="0"/>
              <w:rPr>
                <w:rFonts w:asciiTheme="minorEastAsia" w:hAnsiTheme="minorEastAsia" w:eastAsiaTheme="minorEastAsia"/>
                <w:sz w:val="20"/>
                <w:szCs w:val="20"/>
              </w:rPr>
            </w:pPr>
            <w:r>
              <w:rPr>
                <w:rFonts w:asciiTheme="minorEastAsia" w:hAnsiTheme="minorEastAsia" w:eastAsiaTheme="minorEastAsia"/>
                <w:sz w:val="20"/>
                <w:szCs w:val="20"/>
              </w:rPr>
              <w:t>《中国太平洋人寿保险股份有限公司补充保障型团体医疗保险条款》</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712" w:hRule="atLeast"/>
        </w:trPr>
        <w:tc>
          <w:tcPr>
            <w:tcW w:w="1474" w:type="dxa"/>
            <w:vMerge w:val="restart"/>
            <w:shd w:val="clear" w:color="auto" w:fill="auto"/>
            <w:tcMar>
              <w:top w:w="15" w:type="dxa"/>
              <w:left w:w="15" w:type="dxa"/>
              <w:bottom w:w="0" w:type="dxa"/>
              <w:right w:w="15" w:type="dxa"/>
            </w:tcMar>
            <w:vAlign w:val="center"/>
          </w:tcPr>
          <w:p>
            <w:pPr>
              <w:jc w:val="center"/>
              <w:rPr>
                <w:b/>
                <w:sz w:val="24"/>
              </w:rPr>
            </w:pPr>
            <w:r>
              <w:rPr>
                <w:b/>
                <w:bCs/>
                <w:sz w:val="24"/>
              </w:rPr>
              <w:t>保障范围</w:t>
            </w:r>
          </w:p>
        </w:tc>
        <w:tc>
          <w:tcPr>
            <w:tcW w:w="8243" w:type="dxa"/>
            <w:gridSpan w:val="2"/>
            <w:shd w:val="clear" w:color="auto" w:fill="auto"/>
            <w:tcMar>
              <w:top w:w="15" w:type="dxa"/>
              <w:left w:w="15" w:type="dxa"/>
              <w:bottom w:w="0" w:type="dxa"/>
              <w:right w:w="15" w:type="dxa"/>
            </w:tcMar>
            <w:vAlign w:val="center"/>
          </w:tcPr>
          <w:p>
            <w:pPr>
              <w:outlineLvl w:val="0"/>
              <w:rPr>
                <w:rFonts w:asciiTheme="minorEastAsia" w:hAnsiTheme="minorEastAsia" w:eastAsiaTheme="minorEastAsia"/>
                <w:color w:val="000000"/>
                <w:sz w:val="20"/>
                <w:szCs w:val="20"/>
              </w:rPr>
            </w:pPr>
            <w:r>
              <w:rPr>
                <w:rFonts w:asciiTheme="minorEastAsia" w:hAnsiTheme="minorEastAsia" w:eastAsiaTheme="minorEastAsia"/>
                <w:color w:val="000000"/>
                <w:sz w:val="20"/>
                <w:szCs w:val="20"/>
              </w:rPr>
              <w:t>1.自付及转外自理费用保障</w:t>
            </w:r>
          </w:p>
          <w:p>
            <w:pPr>
              <w:outlineLvl w:val="0"/>
              <w:rPr>
                <w:rFonts w:asciiTheme="minorEastAsia" w:hAnsiTheme="minorEastAsia" w:eastAsiaTheme="minorEastAsia"/>
                <w:sz w:val="20"/>
                <w:szCs w:val="20"/>
              </w:rPr>
            </w:pPr>
            <w:r>
              <w:rPr>
                <w:rFonts w:asciiTheme="minorEastAsia" w:hAnsiTheme="minorEastAsia" w:eastAsiaTheme="minorEastAsia"/>
                <w:color w:val="000000"/>
                <w:sz w:val="20"/>
                <w:szCs w:val="20"/>
              </w:rPr>
              <w:t>住院和门诊规定病种在医保定点医</w:t>
            </w:r>
            <w:r>
              <w:rPr>
                <w:rFonts w:hint="eastAsia" w:asciiTheme="minorEastAsia" w:hAnsiTheme="minorEastAsia" w:eastAsiaTheme="minorEastAsia"/>
                <w:color w:val="000000"/>
                <w:sz w:val="20"/>
                <w:szCs w:val="20"/>
              </w:rPr>
              <w:t>药</w:t>
            </w:r>
            <w:r>
              <w:rPr>
                <w:rFonts w:asciiTheme="minorEastAsia" w:hAnsiTheme="minorEastAsia" w:eastAsiaTheme="minorEastAsia"/>
                <w:color w:val="000000"/>
                <w:sz w:val="20"/>
                <w:szCs w:val="20"/>
              </w:rPr>
              <w:t>机构诊疗期间，发生的符合基本医疗保险、大病保险报销范围且经基本医疗保险、大病保险、医疗救助及医疗补助报销后的自付及转外自理费用（含</w:t>
            </w:r>
            <w:r>
              <w:rPr>
                <w:rFonts w:hint="eastAsia" w:asciiTheme="minorEastAsia" w:hAnsiTheme="minorEastAsia" w:eastAsiaTheme="minorEastAsia"/>
                <w:color w:val="000000"/>
                <w:sz w:val="20"/>
                <w:szCs w:val="20"/>
              </w:rPr>
              <w:t>按规定使用浙江省</w:t>
            </w:r>
            <w:r>
              <w:rPr>
                <w:rFonts w:asciiTheme="minorEastAsia" w:hAnsiTheme="minorEastAsia" w:eastAsiaTheme="minorEastAsia"/>
                <w:color w:val="000000"/>
                <w:sz w:val="20"/>
                <w:szCs w:val="20"/>
              </w:rPr>
              <w:t>大病保险特殊药品</w:t>
            </w:r>
            <w:r>
              <w:rPr>
                <w:rFonts w:hint="eastAsia" w:asciiTheme="minorEastAsia" w:hAnsiTheme="minorEastAsia" w:eastAsiaTheme="minorEastAsia"/>
                <w:color w:val="000000"/>
                <w:sz w:val="20"/>
                <w:szCs w:val="20"/>
              </w:rPr>
              <w:t>的</w:t>
            </w:r>
            <w:r>
              <w:rPr>
                <w:rFonts w:asciiTheme="minorEastAsia" w:hAnsiTheme="minorEastAsia" w:eastAsiaTheme="minorEastAsia"/>
                <w:color w:val="000000"/>
                <w:sz w:val="20"/>
                <w:szCs w:val="20"/>
              </w:rPr>
              <w:t>费用，不含大病保险各项起付线以下费用）</w:t>
            </w:r>
            <w:r>
              <w:rPr>
                <w:rFonts w:hint="eastAsia" w:asciiTheme="minorEastAsia" w:hAnsiTheme="minorEastAsia" w:eastAsiaTheme="minorEastAsia"/>
                <w:color w:val="000000"/>
                <w:sz w:val="20"/>
                <w:szCs w:val="20"/>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039" w:hRule="atLeast"/>
        </w:trPr>
        <w:tc>
          <w:tcPr>
            <w:tcW w:w="1474" w:type="dxa"/>
            <w:vMerge w:val="continue"/>
            <w:shd w:val="clear" w:color="auto" w:fill="auto"/>
            <w:tcMar>
              <w:top w:w="15" w:type="dxa"/>
              <w:left w:w="15" w:type="dxa"/>
              <w:bottom w:w="0" w:type="dxa"/>
              <w:right w:w="15" w:type="dxa"/>
            </w:tcMar>
            <w:vAlign w:val="center"/>
          </w:tcPr>
          <w:p>
            <w:pPr>
              <w:rPr>
                <w:b/>
                <w:bCs/>
                <w:sz w:val="24"/>
              </w:rPr>
            </w:pPr>
          </w:p>
        </w:tc>
        <w:tc>
          <w:tcPr>
            <w:tcW w:w="8243" w:type="dxa"/>
            <w:gridSpan w:val="2"/>
            <w:shd w:val="clear" w:color="auto" w:fill="auto"/>
            <w:tcMar>
              <w:top w:w="15" w:type="dxa"/>
              <w:left w:w="15" w:type="dxa"/>
              <w:bottom w:w="0" w:type="dxa"/>
              <w:right w:w="15" w:type="dxa"/>
            </w:tcMar>
            <w:vAlign w:val="center"/>
          </w:tcPr>
          <w:p>
            <w:pPr>
              <w:outlineLvl w:val="0"/>
              <w:rPr>
                <w:rFonts w:asciiTheme="minorEastAsia" w:hAnsiTheme="minorEastAsia" w:eastAsiaTheme="minorEastAsia"/>
                <w:color w:val="000000"/>
                <w:sz w:val="20"/>
                <w:szCs w:val="20"/>
              </w:rPr>
            </w:pPr>
            <w:r>
              <w:rPr>
                <w:rFonts w:asciiTheme="minorEastAsia" w:hAnsiTheme="minorEastAsia" w:eastAsiaTheme="minorEastAsia"/>
                <w:sz w:val="20"/>
                <w:szCs w:val="20"/>
              </w:rPr>
              <w:t>2.药</w:t>
            </w:r>
            <w:r>
              <w:rPr>
                <w:rFonts w:asciiTheme="minorEastAsia" w:hAnsiTheme="minorEastAsia" w:eastAsiaTheme="minorEastAsia"/>
                <w:color w:val="000000"/>
                <w:sz w:val="20"/>
                <w:szCs w:val="20"/>
              </w:rPr>
              <w:t>品及</w:t>
            </w:r>
            <w:r>
              <w:rPr>
                <w:rFonts w:hint="eastAsia" w:asciiTheme="minorEastAsia" w:hAnsiTheme="minorEastAsia" w:eastAsiaTheme="minorEastAsia"/>
                <w:color w:val="000000"/>
                <w:sz w:val="20"/>
                <w:szCs w:val="20"/>
              </w:rPr>
              <w:t>部分</w:t>
            </w:r>
            <w:r>
              <w:rPr>
                <w:rFonts w:asciiTheme="minorEastAsia" w:hAnsiTheme="minorEastAsia" w:eastAsiaTheme="minorEastAsia"/>
                <w:color w:val="000000"/>
                <w:sz w:val="20"/>
                <w:szCs w:val="20"/>
              </w:rPr>
              <w:t>材料自费费用保障</w:t>
            </w:r>
          </w:p>
          <w:p>
            <w:pPr>
              <w:outlineLvl w:val="0"/>
              <w:rPr>
                <w:rFonts w:asciiTheme="minorEastAsia" w:hAnsiTheme="minorEastAsia" w:eastAsiaTheme="minorEastAsia"/>
                <w:sz w:val="20"/>
                <w:szCs w:val="20"/>
              </w:rPr>
            </w:pPr>
            <w:r>
              <w:rPr>
                <w:rFonts w:asciiTheme="minorEastAsia" w:hAnsiTheme="minorEastAsia" w:eastAsiaTheme="minorEastAsia"/>
                <w:color w:val="000000"/>
                <w:sz w:val="20"/>
                <w:szCs w:val="20"/>
              </w:rPr>
              <w:t>住院和门诊规定病种诊疗期间，在医保定点的就诊医疗机构发生的合理</w:t>
            </w:r>
            <w:r>
              <w:rPr>
                <w:rFonts w:hint="eastAsia" w:asciiTheme="minorEastAsia" w:hAnsiTheme="minorEastAsia" w:eastAsiaTheme="minorEastAsia"/>
                <w:color w:val="000000"/>
                <w:sz w:val="20"/>
                <w:szCs w:val="20"/>
              </w:rPr>
              <w:t>治疗所需的</w:t>
            </w:r>
            <w:r>
              <w:rPr>
                <w:rFonts w:asciiTheme="minorEastAsia" w:hAnsiTheme="minorEastAsia" w:eastAsiaTheme="minorEastAsia"/>
                <w:color w:val="000000"/>
                <w:sz w:val="20"/>
                <w:szCs w:val="20"/>
              </w:rPr>
              <w:t>药品</w:t>
            </w:r>
            <w:r>
              <w:rPr>
                <w:rFonts w:hint="eastAsia" w:asciiTheme="minorEastAsia" w:hAnsiTheme="minorEastAsia" w:eastAsiaTheme="minorEastAsia"/>
                <w:color w:val="000000"/>
                <w:sz w:val="20"/>
                <w:szCs w:val="20"/>
              </w:rPr>
              <w:t>自费</w:t>
            </w:r>
            <w:r>
              <w:rPr>
                <w:rFonts w:asciiTheme="minorEastAsia" w:hAnsiTheme="minorEastAsia" w:eastAsiaTheme="minorEastAsia"/>
                <w:color w:val="000000"/>
                <w:sz w:val="20"/>
                <w:szCs w:val="20"/>
              </w:rPr>
              <w:t>费用（国家医保目录内超过限定范围</w:t>
            </w:r>
            <w:r>
              <w:rPr>
                <w:rFonts w:hint="eastAsia" w:asciiTheme="minorEastAsia" w:hAnsiTheme="minorEastAsia" w:eastAsiaTheme="minorEastAsia"/>
                <w:color w:val="000000"/>
                <w:sz w:val="20"/>
                <w:szCs w:val="20"/>
              </w:rPr>
              <w:t>的</w:t>
            </w:r>
            <w:r>
              <w:rPr>
                <w:rFonts w:asciiTheme="minorEastAsia" w:hAnsiTheme="minorEastAsia" w:eastAsiaTheme="minorEastAsia"/>
                <w:color w:val="000000"/>
                <w:sz w:val="20"/>
                <w:szCs w:val="20"/>
              </w:rPr>
              <w:t>药品</w:t>
            </w:r>
            <w:r>
              <w:rPr>
                <w:rFonts w:hint="eastAsia" w:asciiTheme="minorEastAsia" w:hAnsiTheme="minorEastAsia" w:eastAsiaTheme="minorEastAsia"/>
                <w:color w:val="000000"/>
                <w:sz w:val="20"/>
                <w:szCs w:val="20"/>
              </w:rPr>
              <w:t>费用</w:t>
            </w:r>
            <w:r>
              <w:rPr>
                <w:rFonts w:asciiTheme="minorEastAsia" w:hAnsiTheme="minorEastAsia" w:eastAsiaTheme="minorEastAsia"/>
                <w:color w:val="000000"/>
                <w:sz w:val="20"/>
                <w:szCs w:val="20"/>
              </w:rPr>
              <w:t>、国家医保目录外药品</w:t>
            </w:r>
            <w:r>
              <w:rPr>
                <w:rFonts w:hint="eastAsia" w:asciiTheme="minorEastAsia" w:hAnsiTheme="minorEastAsia" w:eastAsiaTheme="minorEastAsia"/>
                <w:color w:val="000000"/>
                <w:sz w:val="20"/>
                <w:szCs w:val="20"/>
              </w:rPr>
              <w:t>费用</w:t>
            </w:r>
            <w:r>
              <w:rPr>
                <w:rFonts w:asciiTheme="minorEastAsia" w:hAnsiTheme="minorEastAsia" w:eastAsiaTheme="minorEastAsia"/>
                <w:color w:val="000000"/>
                <w:sz w:val="20"/>
                <w:szCs w:val="20"/>
              </w:rPr>
              <w:t>，不含</w:t>
            </w:r>
            <w:r>
              <w:rPr>
                <w:rFonts w:hint="eastAsia" w:asciiTheme="minorEastAsia" w:hAnsiTheme="minorEastAsia" w:eastAsiaTheme="minorEastAsia"/>
                <w:color w:val="000000"/>
                <w:sz w:val="20"/>
                <w:szCs w:val="20"/>
              </w:rPr>
              <w:t>浙江省</w:t>
            </w:r>
            <w:r>
              <w:rPr>
                <w:rFonts w:asciiTheme="minorEastAsia" w:hAnsiTheme="minorEastAsia" w:eastAsiaTheme="minorEastAsia"/>
                <w:color w:val="000000"/>
                <w:sz w:val="20"/>
                <w:szCs w:val="20"/>
              </w:rPr>
              <w:t>大病保险特殊药</w:t>
            </w:r>
            <w:r>
              <w:rPr>
                <w:rFonts w:hint="eastAsia" w:asciiTheme="minorEastAsia" w:hAnsiTheme="minorEastAsia" w:eastAsiaTheme="minorEastAsia"/>
                <w:color w:val="000000"/>
                <w:sz w:val="20"/>
                <w:szCs w:val="20"/>
              </w:rPr>
              <w:t>品费用</w:t>
            </w:r>
            <w:r>
              <w:rPr>
                <w:rFonts w:asciiTheme="minorEastAsia" w:hAnsiTheme="minorEastAsia" w:eastAsiaTheme="minorEastAsia"/>
                <w:color w:val="000000"/>
                <w:sz w:val="20"/>
                <w:szCs w:val="20"/>
              </w:rPr>
              <w:t>）和血液透析器、血液滤过器、人工关节</w:t>
            </w:r>
            <w:r>
              <w:rPr>
                <w:rFonts w:hint="eastAsia" w:asciiTheme="minorEastAsia" w:hAnsiTheme="minorEastAsia" w:eastAsiaTheme="minorEastAsia"/>
                <w:color w:val="000000"/>
                <w:sz w:val="20"/>
                <w:szCs w:val="20"/>
              </w:rPr>
              <w:t>材料</w:t>
            </w:r>
            <w:r>
              <w:rPr>
                <w:rFonts w:asciiTheme="minorEastAsia" w:hAnsiTheme="minorEastAsia" w:eastAsiaTheme="minorEastAsia"/>
                <w:color w:val="000000"/>
                <w:sz w:val="20"/>
                <w:szCs w:val="20"/>
              </w:rPr>
              <w:t>自</w:t>
            </w:r>
            <w:r>
              <w:rPr>
                <w:rFonts w:asciiTheme="minorEastAsia" w:hAnsiTheme="minorEastAsia" w:eastAsiaTheme="minorEastAsia"/>
                <w:sz w:val="20"/>
                <w:szCs w:val="20"/>
              </w:rPr>
              <w:t>费费用。其中</w:t>
            </w:r>
            <w:r>
              <w:rPr>
                <w:rFonts w:hint="eastAsia" w:asciiTheme="minorEastAsia" w:hAnsiTheme="minorEastAsia" w:eastAsiaTheme="minorEastAsia"/>
                <w:sz w:val="20"/>
                <w:szCs w:val="20"/>
              </w:rPr>
              <w:t>，</w:t>
            </w:r>
            <w:r>
              <w:rPr>
                <w:rFonts w:hint="eastAsia" w:asciiTheme="minorEastAsia" w:hAnsiTheme="minorEastAsia" w:eastAsiaTheme="minorEastAsia"/>
                <w:color w:val="000000"/>
                <w:sz w:val="20"/>
                <w:szCs w:val="20"/>
              </w:rPr>
              <w:t>绍兴</w:t>
            </w:r>
            <w:r>
              <w:rPr>
                <w:rFonts w:asciiTheme="minorEastAsia" w:hAnsiTheme="minorEastAsia" w:eastAsiaTheme="minorEastAsia"/>
                <w:color w:val="000000"/>
                <w:sz w:val="20"/>
                <w:szCs w:val="20"/>
              </w:rPr>
              <w:t>市外异地就医</w:t>
            </w:r>
            <w:r>
              <w:rPr>
                <w:rFonts w:hint="eastAsia" w:asciiTheme="minorEastAsia" w:hAnsiTheme="minorEastAsia" w:eastAsiaTheme="minorEastAsia"/>
                <w:color w:val="000000"/>
                <w:sz w:val="20"/>
                <w:szCs w:val="20"/>
              </w:rPr>
              <w:t>符合上述规定</w:t>
            </w:r>
            <w:r>
              <w:rPr>
                <w:rFonts w:asciiTheme="minorEastAsia" w:hAnsiTheme="minorEastAsia" w:eastAsiaTheme="minorEastAsia"/>
                <w:color w:val="000000"/>
                <w:sz w:val="20"/>
                <w:szCs w:val="20"/>
              </w:rPr>
              <w:t>费用按50%计入</w:t>
            </w:r>
            <w:r>
              <w:rPr>
                <w:rFonts w:hint="eastAsia" w:asciiTheme="minorEastAsia" w:hAnsiTheme="minorEastAsia" w:eastAsiaTheme="minorEastAsia"/>
                <w:color w:val="000000"/>
                <w:sz w:val="20"/>
                <w:szCs w:val="20"/>
              </w:rPr>
              <w:t>报销范围</w:t>
            </w:r>
            <w:r>
              <w:rPr>
                <w:rFonts w:asciiTheme="minorEastAsia" w:hAnsiTheme="minorEastAsia" w:eastAsiaTheme="minorEastAsia"/>
                <w:color w:val="000000"/>
                <w:sz w:val="20"/>
                <w:szCs w:val="20"/>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871" w:hRule="atLeast"/>
        </w:trPr>
        <w:tc>
          <w:tcPr>
            <w:tcW w:w="1474" w:type="dxa"/>
            <w:vMerge w:val="continue"/>
            <w:shd w:val="clear" w:color="auto" w:fill="auto"/>
            <w:tcMar>
              <w:top w:w="15" w:type="dxa"/>
              <w:left w:w="15" w:type="dxa"/>
              <w:bottom w:w="0" w:type="dxa"/>
              <w:right w:w="15" w:type="dxa"/>
            </w:tcMar>
            <w:vAlign w:val="center"/>
          </w:tcPr>
          <w:p>
            <w:pPr>
              <w:rPr>
                <w:b/>
                <w:bCs/>
                <w:sz w:val="24"/>
              </w:rPr>
            </w:pPr>
          </w:p>
        </w:tc>
        <w:tc>
          <w:tcPr>
            <w:tcW w:w="8243" w:type="dxa"/>
            <w:gridSpan w:val="2"/>
            <w:shd w:val="clear" w:color="auto" w:fill="auto"/>
            <w:tcMar>
              <w:top w:w="15" w:type="dxa"/>
              <w:left w:w="15" w:type="dxa"/>
              <w:bottom w:w="0" w:type="dxa"/>
              <w:right w:w="15" w:type="dxa"/>
            </w:tcMar>
            <w:vAlign w:val="center"/>
          </w:tcPr>
          <w:p>
            <w:pPr>
              <w:outlineLvl w:val="0"/>
              <w:rPr>
                <w:rFonts w:asciiTheme="minorEastAsia" w:hAnsiTheme="minorEastAsia" w:eastAsiaTheme="minorEastAsia"/>
                <w:sz w:val="20"/>
                <w:szCs w:val="20"/>
              </w:rPr>
            </w:pPr>
            <w:r>
              <w:rPr>
                <w:rFonts w:asciiTheme="minorEastAsia" w:hAnsiTheme="minorEastAsia" w:eastAsiaTheme="minorEastAsia"/>
                <w:sz w:val="20"/>
                <w:szCs w:val="20"/>
              </w:rPr>
              <w:t>3.高额外购自费药品费用保障</w:t>
            </w:r>
          </w:p>
          <w:p>
            <w:pPr>
              <w:outlineLvl w:val="0"/>
              <w:rPr>
                <w:rFonts w:asciiTheme="minorEastAsia" w:hAnsiTheme="minorEastAsia" w:eastAsiaTheme="minorEastAsia"/>
                <w:sz w:val="20"/>
                <w:szCs w:val="20"/>
              </w:rPr>
            </w:pPr>
            <w:r>
              <w:rPr>
                <w:rFonts w:asciiTheme="minorEastAsia" w:hAnsiTheme="minorEastAsia" w:eastAsiaTheme="minorEastAsia"/>
                <w:sz w:val="20"/>
                <w:szCs w:val="20"/>
              </w:rPr>
              <w:t>凭专科医生开具的处方，在指定药店购买符合《越惠保高额外购自费药品目录》支付范围内的20种药品费用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90" w:hRule="atLeast"/>
        </w:trPr>
        <w:tc>
          <w:tcPr>
            <w:tcW w:w="1474" w:type="dxa"/>
            <w:vMerge w:val="restart"/>
            <w:shd w:val="clear" w:color="auto" w:fill="auto"/>
            <w:tcMar>
              <w:top w:w="15" w:type="dxa"/>
              <w:left w:w="15" w:type="dxa"/>
              <w:bottom w:w="0" w:type="dxa"/>
              <w:right w:w="15" w:type="dxa"/>
            </w:tcMar>
            <w:vAlign w:val="center"/>
          </w:tcPr>
          <w:p>
            <w:pPr>
              <w:jc w:val="center"/>
              <w:rPr>
                <w:b/>
                <w:bCs/>
                <w:sz w:val="24"/>
              </w:rPr>
            </w:pPr>
            <w:r>
              <w:rPr>
                <w:b/>
                <w:bCs/>
                <w:sz w:val="24"/>
              </w:rPr>
              <w:t>保险金额</w:t>
            </w:r>
          </w:p>
        </w:tc>
        <w:tc>
          <w:tcPr>
            <w:tcW w:w="4208" w:type="dxa"/>
            <w:shd w:val="clear" w:color="auto" w:fill="auto"/>
            <w:tcMar>
              <w:top w:w="15" w:type="dxa"/>
              <w:left w:w="15" w:type="dxa"/>
              <w:bottom w:w="0" w:type="dxa"/>
              <w:right w:w="15" w:type="dxa"/>
            </w:tcMar>
            <w:vAlign w:val="center"/>
          </w:tcPr>
          <w:p>
            <w:pPr>
              <w:outlineLvl w:val="0"/>
              <w:rPr>
                <w:rFonts w:asciiTheme="minorEastAsia" w:hAnsiTheme="minorEastAsia" w:eastAsiaTheme="minorEastAsia"/>
                <w:sz w:val="20"/>
                <w:szCs w:val="20"/>
              </w:rPr>
            </w:pPr>
            <w:r>
              <w:rPr>
                <w:rFonts w:asciiTheme="minorEastAsia" w:hAnsiTheme="minorEastAsia" w:eastAsiaTheme="minorEastAsia"/>
                <w:sz w:val="20"/>
                <w:szCs w:val="20"/>
              </w:rPr>
              <w:t>1.自付及转外自理费用保障</w:t>
            </w:r>
          </w:p>
        </w:tc>
        <w:tc>
          <w:tcPr>
            <w:tcW w:w="4035" w:type="dxa"/>
            <w:shd w:val="clear" w:color="auto" w:fill="auto"/>
            <w:tcMar>
              <w:top w:w="15" w:type="dxa"/>
              <w:left w:w="15" w:type="dxa"/>
              <w:bottom w:w="0" w:type="dxa"/>
              <w:right w:w="15" w:type="dxa"/>
            </w:tcMar>
            <w:vAlign w:val="center"/>
          </w:tcPr>
          <w:p>
            <w:pPr>
              <w:jc w:val="center"/>
              <w:outlineLvl w:val="0"/>
              <w:rPr>
                <w:rFonts w:asciiTheme="minorEastAsia" w:hAnsiTheme="minorEastAsia" w:eastAsiaTheme="minorEastAsia"/>
                <w:sz w:val="20"/>
                <w:szCs w:val="20"/>
              </w:rPr>
            </w:pPr>
            <w:r>
              <w:rPr>
                <w:rFonts w:asciiTheme="minorEastAsia" w:hAnsiTheme="minorEastAsia" w:eastAsiaTheme="minorEastAsia"/>
                <w:sz w:val="20"/>
                <w:szCs w:val="20"/>
              </w:rPr>
              <w:t>50万</w:t>
            </w:r>
            <w:r>
              <w:rPr>
                <w:rFonts w:hint="eastAsia" w:asciiTheme="minorEastAsia" w:hAnsiTheme="minorEastAsia" w:eastAsiaTheme="minorEastAsia"/>
                <w:sz w:val="20"/>
                <w:szCs w:val="20"/>
              </w:rPr>
              <w:t>元</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90" w:hRule="atLeast"/>
        </w:trPr>
        <w:tc>
          <w:tcPr>
            <w:tcW w:w="1474" w:type="dxa"/>
            <w:vMerge w:val="continue"/>
            <w:shd w:val="clear" w:color="auto" w:fill="auto"/>
            <w:tcMar>
              <w:top w:w="15" w:type="dxa"/>
              <w:left w:w="15" w:type="dxa"/>
              <w:bottom w:w="0" w:type="dxa"/>
              <w:right w:w="15" w:type="dxa"/>
            </w:tcMar>
            <w:vAlign w:val="center"/>
          </w:tcPr>
          <w:p>
            <w:pPr>
              <w:outlineLvl w:val="0"/>
              <w:rPr>
                <w:sz w:val="24"/>
              </w:rPr>
            </w:pPr>
          </w:p>
        </w:tc>
        <w:tc>
          <w:tcPr>
            <w:tcW w:w="4208" w:type="dxa"/>
            <w:shd w:val="clear" w:color="auto" w:fill="auto"/>
            <w:tcMar>
              <w:top w:w="15" w:type="dxa"/>
              <w:left w:w="15" w:type="dxa"/>
              <w:bottom w:w="0" w:type="dxa"/>
              <w:right w:w="15" w:type="dxa"/>
            </w:tcMar>
            <w:vAlign w:val="center"/>
          </w:tcPr>
          <w:p>
            <w:pPr>
              <w:widowControl/>
              <w:jc w:val="left"/>
              <w:outlineLvl w:val="0"/>
              <w:rPr>
                <w:rFonts w:asciiTheme="minorEastAsia" w:hAnsiTheme="minorEastAsia" w:eastAsiaTheme="minorEastAsia"/>
                <w:sz w:val="20"/>
                <w:szCs w:val="20"/>
              </w:rPr>
            </w:pPr>
            <w:r>
              <w:rPr>
                <w:rFonts w:asciiTheme="minorEastAsia" w:hAnsiTheme="minorEastAsia" w:eastAsiaTheme="minorEastAsia"/>
                <w:sz w:val="20"/>
                <w:szCs w:val="20"/>
              </w:rPr>
              <w:t>2.药品及</w:t>
            </w:r>
            <w:r>
              <w:rPr>
                <w:rFonts w:hint="eastAsia" w:asciiTheme="minorEastAsia" w:hAnsiTheme="minorEastAsia" w:eastAsiaTheme="minorEastAsia"/>
                <w:sz w:val="20"/>
                <w:szCs w:val="20"/>
              </w:rPr>
              <w:t>部分</w:t>
            </w:r>
            <w:r>
              <w:rPr>
                <w:rFonts w:asciiTheme="minorEastAsia" w:hAnsiTheme="minorEastAsia" w:eastAsiaTheme="minorEastAsia"/>
                <w:sz w:val="20"/>
                <w:szCs w:val="20"/>
              </w:rPr>
              <w:t>材料自费费用保障</w:t>
            </w:r>
          </w:p>
        </w:tc>
        <w:tc>
          <w:tcPr>
            <w:tcW w:w="4035" w:type="dxa"/>
            <w:shd w:val="clear" w:color="auto" w:fill="auto"/>
            <w:tcMar>
              <w:top w:w="15" w:type="dxa"/>
              <w:left w:w="15" w:type="dxa"/>
              <w:bottom w:w="0" w:type="dxa"/>
              <w:right w:w="15" w:type="dxa"/>
            </w:tcMar>
            <w:vAlign w:val="center"/>
          </w:tcPr>
          <w:p>
            <w:pPr>
              <w:jc w:val="center"/>
              <w:outlineLvl w:val="0"/>
              <w:rPr>
                <w:rFonts w:asciiTheme="minorEastAsia" w:hAnsiTheme="minorEastAsia" w:eastAsiaTheme="minorEastAsia"/>
                <w:sz w:val="20"/>
                <w:szCs w:val="20"/>
              </w:rPr>
            </w:pPr>
            <w:r>
              <w:rPr>
                <w:rFonts w:asciiTheme="minorEastAsia" w:hAnsiTheme="minorEastAsia" w:eastAsiaTheme="minorEastAsia"/>
                <w:sz w:val="20"/>
                <w:szCs w:val="20"/>
              </w:rPr>
              <w:t>50万</w:t>
            </w:r>
            <w:r>
              <w:rPr>
                <w:rFonts w:hint="eastAsia" w:asciiTheme="minorEastAsia" w:hAnsiTheme="minorEastAsia" w:eastAsiaTheme="minorEastAsia"/>
                <w:sz w:val="20"/>
                <w:szCs w:val="20"/>
              </w:rPr>
              <w:t>元</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17" w:hRule="atLeast"/>
        </w:trPr>
        <w:tc>
          <w:tcPr>
            <w:tcW w:w="1474" w:type="dxa"/>
            <w:vMerge w:val="continue"/>
            <w:shd w:val="clear" w:color="auto" w:fill="auto"/>
            <w:tcMar>
              <w:top w:w="15" w:type="dxa"/>
              <w:left w:w="15" w:type="dxa"/>
              <w:bottom w:w="0" w:type="dxa"/>
              <w:right w:w="15" w:type="dxa"/>
            </w:tcMar>
            <w:vAlign w:val="center"/>
          </w:tcPr>
          <w:p>
            <w:pPr>
              <w:outlineLvl w:val="0"/>
              <w:rPr>
                <w:sz w:val="24"/>
              </w:rPr>
            </w:pPr>
          </w:p>
        </w:tc>
        <w:tc>
          <w:tcPr>
            <w:tcW w:w="4208" w:type="dxa"/>
            <w:shd w:val="clear" w:color="auto" w:fill="auto"/>
            <w:tcMar>
              <w:top w:w="15" w:type="dxa"/>
              <w:left w:w="15" w:type="dxa"/>
              <w:bottom w:w="0" w:type="dxa"/>
              <w:right w:w="15" w:type="dxa"/>
            </w:tcMar>
            <w:vAlign w:val="center"/>
          </w:tcPr>
          <w:p>
            <w:pPr>
              <w:outlineLvl w:val="0"/>
              <w:rPr>
                <w:rFonts w:asciiTheme="minorEastAsia" w:hAnsiTheme="minorEastAsia" w:eastAsiaTheme="minorEastAsia"/>
                <w:sz w:val="20"/>
                <w:szCs w:val="20"/>
              </w:rPr>
            </w:pPr>
            <w:r>
              <w:rPr>
                <w:rFonts w:asciiTheme="minorEastAsia" w:hAnsiTheme="minorEastAsia" w:eastAsiaTheme="minorEastAsia"/>
                <w:sz w:val="20"/>
                <w:szCs w:val="20"/>
              </w:rPr>
              <w:t>3.高额外购自费药品费用保障</w:t>
            </w:r>
          </w:p>
        </w:tc>
        <w:tc>
          <w:tcPr>
            <w:tcW w:w="4035" w:type="dxa"/>
            <w:shd w:val="clear" w:color="auto" w:fill="auto"/>
            <w:tcMar>
              <w:top w:w="15" w:type="dxa"/>
              <w:left w:w="15" w:type="dxa"/>
              <w:bottom w:w="0" w:type="dxa"/>
              <w:right w:w="15" w:type="dxa"/>
            </w:tcMar>
            <w:vAlign w:val="center"/>
          </w:tcPr>
          <w:p>
            <w:pPr>
              <w:jc w:val="center"/>
              <w:outlineLvl w:val="0"/>
              <w:rPr>
                <w:rFonts w:asciiTheme="minorEastAsia" w:hAnsiTheme="minorEastAsia" w:eastAsiaTheme="minorEastAsia"/>
                <w:sz w:val="20"/>
                <w:szCs w:val="20"/>
              </w:rPr>
            </w:pPr>
            <w:r>
              <w:rPr>
                <w:rFonts w:asciiTheme="minorEastAsia" w:hAnsiTheme="minorEastAsia" w:eastAsiaTheme="minorEastAsia"/>
                <w:sz w:val="20"/>
                <w:szCs w:val="20"/>
              </w:rPr>
              <w:t>50万</w:t>
            </w:r>
            <w:r>
              <w:rPr>
                <w:rFonts w:hint="eastAsia" w:asciiTheme="minorEastAsia" w:hAnsiTheme="minorEastAsia" w:eastAsiaTheme="minorEastAsia"/>
                <w:sz w:val="20"/>
                <w:szCs w:val="20"/>
              </w:rPr>
              <w:t>元</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23" w:hRule="atLeast"/>
        </w:trPr>
        <w:tc>
          <w:tcPr>
            <w:tcW w:w="1474" w:type="dxa"/>
            <w:vMerge w:val="restart"/>
            <w:shd w:val="clear" w:color="auto" w:fill="auto"/>
            <w:tcMar>
              <w:top w:w="15" w:type="dxa"/>
              <w:left w:w="15" w:type="dxa"/>
              <w:bottom w:w="0" w:type="dxa"/>
              <w:right w:w="15" w:type="dxa"/>
            </w:tcMar>
            <w:vAlign w:val="center"/>
          </w:tcPr>
          <w:p>
            <w:pPr>
              <w:jc w:val="center"/>
              <w:rPr>
                <w:b/>
                <w:bCs/>
                <w:sz w:val="24"/>
              </w:rPr>
            </w:pPr>
            <w:r>
              <w:rPr>
                <w:b/>
                <w:bCs/>
                <w:sz w:val="24"/>
              </w:rPr>
              <w:t>赔付比例</w:t>
            </w:r>
          </w:p>
        </w:tc>
        <w:tc>
          <w:tcPr>
            <w:tcW w:w="4208" w:type="dxa"/>
            <w:shd w:val="clear" w:color="auto" w:fill="auto"/>
            <w:tcMar>
              <w:top w:w="15" w:type="dxa"/>
              <w:left w:w="15" w:type="dxa"/>
              <w:bottom w:w="0" w:type="dxa"/>
              <w:right w:w="15" w:type="dxa"/>
            </w:tcMar>
            <w:vAlign w:val="center"/>
          </w:tcPr>
          <w:p>
            <w:pPr>
              <w:outlineLvl w:val="0"/>
              <w:rPr>
                <w:rFonts w:asciiTheme="minorEastAsia" w:hAnsiTheme="minorEastAsia" w:eastAsiaTheme="minorEastAsia"/>
                <w:sz w:val="20"/>
                <w:szCs w:val="20"/>
              </w:rPr>
            </w:pPr>
            <w:r>
              <w:rPr>
                <w:rFonts w:asciiTheme="minorEastAsia" w:hAnsiTheme="minorEastAsia" w:eastAsiaTheme="minorEastAsia"/>
                <w:sz w:val="20"/>
                <w:szCs w:val="20"/>
              </w:rPr>
              <w:t>1.自付及转外自理费用保障</w:t>
            </w:r>
          </w:p>
        </w:tc>
        <w:tc>
          <w:tcPr>
            <w:tcW w:w="4035" w:type="dxa"/>
            <w:shd w:val="clear" w:color="auto" w:fill="auto"/>
            <w:tcMar>
              <w:top w:w="15" w:type="dxa"/>
              <w:left w:w="15" w:type="dxa"/>
              <w:bottom w:w="0" w:type="dxa"/>
              <w:right w:w="15" w:type="dxa"/>
            </w:tcMar>
            <w:vAlign w:val="center"/>
          </w:tcPr>
          <w:p>
            <w:pPr>
              <w:jc w:val="center"/>
              <w:outlineLvl w:val="0"/>
              <w:rPr>
                <w:rFonts w:asciiTheme="minorEastAsia" w:hAnsiTheme="minorEastAsia" w:eastAsiaTheme="minorEastAsia"/>
                <w:sz w:val="20"/>
                <w:szCs w:val="20"/>
              </w:rPr>
            </w:pPr>
            <w:r>
              <w:rPr>
                <w:rFonts w:asciiTheme="minorEastAsia" w:hAnsiTheme="minorEastAsia" w:eastAsiaTheme="minorEastAsia"/>
                <w:sz w:val="20"/>
                <w:szCs w:val="20"/>
              </w:rPr>
              <w:t>50%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23" w:hRule="atLeast"/>
        </w:trPr>
        <w:tc>
          <w:tcPr>
            <w:tcW w:w="1474" w:type="dxa"/>
            <w:vMerge w:val="continue"/>
            <w:shd w:val="clear" w:color="auto" w:fill="auto"/>
            <w:tcMar>
              <w:top w:w="15" w:type="dxa"/>
              <w:left w:w="15" w:type="dxa"/>
              <w:bottom w:w="0" w:type="dxa"/>
              <w:right w:w="15" w:type="dxa"/>
            </w:tcMar>
            <w:vAlign w:val="center"/>
          </w:tcPr>
          <w:p>
            <w:pPr>
              <w:outlineLvl w:val="0"/>
              <w:rPr>
                <w:sz w:val="24"/>
              </w:rPr>
            </w:pPr>
          </w:p>
        </w:tc>
        <w:tc>
          <w:tcPr>
            <w:tcW w:w="4208" w:type="dxa"/>
            <w:shd w:val="clear" w:color="auto" w:fill="auto"/>
            <w:tcMar>
              <w:top w:w="15" w:type="dxa"/>
              <w:left w:w="15" w:type="dxa"/>
              <w:bottom w:w="0" w:type="dxa"/>
              <w:right w:w="15" w:type="dxa"/>
            </w:tcMar>
            <w:vAlign w:val="center"/>
          </w:tcPr>
          <w:p>
            <w:pPr>
              <w:widowControl/>
              <w:jc w:val="left"/>
              <w:outlineLvl w:val="0"/>
              <w:rPr>
                <w:rFonts w:asciiTheme="minorEastAsia" w:hAnsiTheme="minorEastAsia" w:eastAsiaTheme="minorEastAsia"/>
                <w:sz w:val="20"/>
                <w:szCs w:val="20"/>
              </w:rPr>
            </w:pPr>
            <w:r>
              <w:rPr>
                <w:rFonts w:asciiTheme="minorEastAsia" w:hAnsiTheme="minorEastAsia" w:eastAsiaTheme="minorEastAsia"/>
                <w:sz w:val="20"/>
                <w:szCs w:val="20"/>
              </w:rPr>
              <w:t>2.药品及</w:t>
            </w:r>
            <w:r>
              <w:rPr>
                <w:rFonts w:hint="eastAsia" w:asciiTheme="minorEastAsia" w:hAnsiTheme="minorEastAsia" w:eastAsiaTheme="minorEastAsia"/>
                <w:sz w:val="20"/>
                <w:szCs w:val="20"/>
              </w:rPr>
              <w:t>部分</w:t>
            </w:r>
            <w:r>
              <w:rPr>
                <w:rFonts w:asciiTheme="minorEastAsia" w:hAnsiTheme="minorEastAsia" w:eastAsiaTheme="minorEastAsia"/>
                <w:sz w:val="20"/>
                <w:szCs w:val="20"/>
              </w:rPr>
              <w:t>材料自费费用保障</w:t>
            </w:r>
          </w:p>
        </w:tc>
        <w:tc>
          <w:tcPr>
            <w:tcW w:w="4035" w:type="dxa"/>
            <w:shd w:val="clear" w:color="auto" w:fill="auto"/>
            <w:tcMar>
              <w:top w:w="15" w:type="dxa"/>
              <w:left w:w="15" w:type="dxa"/>
              <w:bottom w:w="0" w:type="dxa"/>
              <w:right w:w="15" w:type="dxa"/>
            </w:tcMar>
            <w:vAlign w:val="center"/>
          </w:tcPr>
          <w:p>
            <w:pPr>
              <w:jc w:val="center"/>
              <w:outlineLvl w:val="0"/>
              <w:rPr>
                <w:rFonts w:asciiTheme="minorEastAsia" w:hAnsiTheme="minorEastAsia" w:eastAsiaTheme="minorEastAsia"/>
                <w:sz w:val="20"/>
                <w:szCs w:val="20"/>
              </w:rPr>
            </w:pPr>
            <w:r>
              <w:rPr>
                <w:rFonts w:asciiTheme="minorEastAsia" w:hAnsiTheme="minorEastAsia" w:eastAsiaTheme="minorEastAsia"/>
                <w:sz w:val="20"/>
                <w:szCs w:val="20"/>
              </w:rPr>
              <w:t>60%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23" w:hRule="atLeast"/>
        </w:trPr>
        <w:tc>
          <w:tcPr>
            <w:tcW w:w="1474" w:type="dxa"/>
            <w:vMerge w:val="continue"/>
            <w:shd w:val="clear" w:color="auto" w:fill="auto"/>
            <w:tcMar>
              <w:top w:w="15" w:type="dxa"/>
              <w:left w:w="15" w:type="dxa"/>
              <w:bottom w:w="0" w:type="dxa"/>
              <w:right w:w="15" w:type="dxa"/>
            </w:tcMar>
            <w:vAlign w:val="center"/>
          </w:tcPr>
          <w:p>
            <w:pPr>
              <w:outlineLvl w:val="0"/>
              <w:rPr>
                <w:sz w:val="24"/>
              </w:rPr>
            </w:pPr>
          </w:p>
        </w:tc>
        <w:tc>
          <w:tcPr>
            <w:tcW w:w="4208" w:type="dxa"/>
            <w:shd w:val="clear" w:color="auto" w:fill="auto"/>
            <w:tcMar>
              <w:top w:w="15" w:type="dxa"/>
              <w:left w:w="15" w:type="dxa"/>
              <w:bottom w:w="0" w:type="dxa"/>
              <w:right w:w="15" w:type="dxa"/>
            </w:tcMar>
            <w:vAlign w:val="center"/>
          </w:tcPr>
          <w:p>
            <w:pPr>
              <w:outlineLvl w:val="0"/>
              <w:rPr>
                <w:rFonts w:asciiTheme="minorEastAsia" w:hAnsiTheme="minorEastAsia" w:eastAsiaTheme="minorEastAsia"/>
                <w:sz w:val="20"/>
                <w:szCs w:val="20"/>
              </w:rPr>
            </w:pPr>
            <w:r>
              <w:rPr>
                <w:rFonts w:asciiTheme="minorEastAsia" w:hAnsiTheme="minorEastAsia" w:eastAsiaTheme="minorEastAsia"/>
                <w:sz w:val="20"/>
                <w:szCs w:val="20"/>
              </w:rPr>
              <w:t>3.高额外购自费药品费用保障</w:t>
            </w:r>
          </w:p>
        </w:tc>
        <w:tc>
          <w:tcPr>
            <w:tcW w:w="4035" w:type="dxa"/>
            <w:shd w:val="clear" w:color="auto" w:fill="auto"/>
            <w:tcMar>
              <w:top w:w="15" w:type="dxa"/>
              <w:left w:w="15" w:type="dxa"/>
              <w:bottom w:w="0" w:type="dxa"/>
              <w:right w:w="15" w:type="dxa"/>
            </w:tcMar>
            <w:vAlign w:val="center"/>
          </w:tcPr>
          <w:p>
            <w:pPr>
              <w:jc w:val="center"/>
              <w:outlineLvl w:val="0"/>
              <w:rPr>
                <w:rFonts w:asciiTheme="minorEastAsia" w:hAnsiTheme="minorEastAsia" w:eastAsiaTheme="minorEastAsia"/>
                <w:sz w:val="20"/>
                <w:szCs w:val="20"/>
              </w:rPr>
            </w:pPr>
            <w:r>
              <w:rPr>
                <w:rFonts w:asciiTheme="minorEastAsia" w:hAnsiTheme="minorEastAsia" w:eastAsiaTheme="minorEastAsia"/>
                <w:sz w:val="20"/>
                <w:szCs w:val="20"/>
              </w:rPr>
              <w:t>60%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51" w:hRule="atLeast"/>
        </w:trPr>
        <w:tc>
          <w:tcPr>
            <w:tcW w:w="1474" w:type="dxa"/>
            <w:vMerge w:val="restart"/>
            <w:shd w:val="clear" w:color="auto" w:fill="auto"/>
            <w:tcMar>
              <w:top w:w="15" w:type="dxa"/>
              <w:left w:w="15" w:type="dxa"/>
              <w:bottom w:w="0" w:type="dxa"/>
              <w:right w:w="15" w:type="dxa"/>
            </w:tcMar>
            <w:vAlign w:val="center"/>
          </w:tcPr>
          <w:p>
            <w:pPr>
              <w:jc w:val="center"/>
              <w:rPr>
                <w:b/>
                <w:bCs/>
                <w:sz w:val="24"/>
              </w:rPr>
            </w:pPr>
            <w:r>
              <w:rPr>
                <w:b/>
                <w:bCs/>
                <w:sz w:val="24"/>
              </w:rPr>
              <w:t>年免赔额</w:t>
            </w:r>
          </w:p>
        </w:tc>
        <w:tc>
          <w:tcPr>
            <w:tcW w:w="4208" w:type="dxa"/>
            <w:shd w:val="clear" w:color="auto" w:fill="auto"/>
            <w:tcMar>
              <w:top w:w="15" w:type="dxa"/>
              <w:left w:w="15" w:type="dxa"/>
              <w:bottom w:w="0" w:type="dxa"/>
              <w:right w:w="15" w:type="dxa"/>
            </w:tcMar>
            <w:vAlign w:val="center"/>
          </w:tcPr>
          <w:p>
            <w:pPr>
              <w:outlineLvl w:val="0"/>
              <w:rPr>
                <w:rFonts w:asciiTheme="minorEastAsia" w:hAnsiTheme="minorEastAsia" w:eastAsiaTheme="minorEastAsia"/>
                <w:sz w:val="20"/>
                <w:szCs w:val="20"/>
              </w:rPr>
            </w:pPr>
            <w:r>
              <w:rPr>
                <w:rFonts w:asciiTheme="minorEastAsia" w:hAnsiTheme="minorEastAsia" w:eastAsiaTheme="minorEastAsia"/>
                <w:sz w:val="20"/>
                <w:szCs w:val="20"/>
              </w:rPr>
              <w:t>1.自付及转外自理费用保障</w:t>
            </w:r>
          </w:p>
        </w:tc>
        <w:tc>
          <w:tcPr>
            <w:tcW w:w="4035" w:type="dxa"/>
            <w:shd w:val="clear" w:color="auto" w:fill="auto"/>
            <w:tcMar>
              <w:top w:w="15" w:type="dxa"/>
              <w:left w:w="15" w:type="dxa"/>
              <w:bottom w:w="0" w:type="dxa"/>
              <w:right w:w="15" w:type="dxa"/>
            </w:tcMar>
            <w:vAlign w:val="center"/>
          </w:tcPr>
          <w:p>
            <w:pPr>
              <w:widowControl/>
              <w:jc w:val="center"/>
              <w:outlineLvl w:val="0"/>
              <w:rPr>
                <w:rFonts w:asciiTheme="minorEastAsia" w:hAnsiTheme="minorEastAsia" w:eastAsiaTheme="minorEastAsia"/>
                <w:sz w:val="20"/>
                <w:szCs w:val="20"/>
              </w:rPr>
            </w:pPr>
            <w:r>
              <w:rPr>
                <w:rFonts w:asciiTheme="minorEastAsia" w:hAnsiTheme="minorEastAsia" w:eastAsiaTheme="minorEastAsia"/>
                <w:sz w:val="20"/>
                <w:szCs w:val="20"/>
              </w:rPr>
              <w:t>与大病</w:t>
            </w:r>
            <w:r>
              <w:rPr>
                <w:rFonts w:hint="eastAsia" w:asciiTheme="minorEastAsia" w:hAnsiTheme="minorEastAsia" w:eastAsiaTheme="minorEastAsia"/>
                <w:sz w:val="20"/>
                <w:szCs w:val="20"/>
              </w:rPr>
              <w:t>保险规定的</w:t>
            </w:r>
            <w:r>
              <w:rPr>
                <w:rFonts w:asciiTheme="minorEastAsia" w:hAnsiTheme="minorEastAsia" w:eastAsiaTheme="minorEastAsia"/>
                <w:sz w:val="20"/>
                <w:szCs w:val="20"/>
              </w:rPr>
              <w:t>各项起付线一致，大病</w:t>
            </w:r>
            <w:r>
              <w:rPr>
                <w:rFonts w:hint="eastAsia" w:asciiTheme="minorEastAsia" w:hAnsiTheme="minorEastAsia" w:eastAsiaTheme="minorEastAsia"/>
                <w:sz w:val="20"/>
                <w:szCs w:val="20"/>
              </w:rPr>
              <w:t>保险</w:t>
            </w:r>
            <w:r>
              <w:rPr>
                <w:rFonts w:asciiTheme="minorEastAsia" w:hAnsiTheme="minorEastAsia" w:eastAsiaTheme="minorEastAsia"/>
                <w:sz w:val="20"/>
                <w:szCs w:val="20"/>
              </w:rPr>
              <w:t>起付线以上0</w:t>
            </w:r>
            <w:r>
              <w:rPr>
                <w:rFonts w:hint="eastAsia" w:asciiTheme="minorEastAsia" w:hAnsiTheme="minorEastAsia" w:eastAsiaTheme="minorEastAsia"/>
                <w:sz w:val="20"/>
                <w:szCs w:val="20"/>
              </w:rPr>
              <w:t>元</w:t>
            </w:r>
            <w:r>
              <w:rPr>
                <w:rFonts w:asciiTheme="minorEastAsia" w:hAnsiTheme="minorEastAsia" w:eastAsiaTheme="minorEastAsia"/>
                <w:sz w:val="20"/>
                <w:szCs w:val="20"/>
              </w:rPr>
              <w:t>免赔</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9" w:hRule="atLeast"/>
        </w:trPr>
        <w:tc>
          <w:tcPr>
            <w:tcW w:w="1474" w:type="dxa"/>
            <w:vMerge w:val="continue"/>
            <w:shd w:val="clear" w:color="auto" w:fill="auto"/>
            <w:tcMar>
              <w:top w:w="15" w:type="dxa"/>
              <w:left w:w="15" w:type="dxa"/>
              <w:bottom w:w="0" w:type="dxa"/>
              <w:right w:w="15" w:type="dxa"/>
            </w:tcMar>
            <w:vAlign w:val="center"/>
          </w:tcPr>
          <w:p>
            <w:pPr>
              <w:jc w:val="left"/>
              <w:outlineLvl w:val="0"/>
              <w:rPr>
                <w:sz w:val="24"/>
              </w:rPr>
            </w:pPr>
          </w:p>
        </w:tc>
        <w:tc>
          <w:tcPr>
            <w:tcW w:w="4208" w:type="dxa"/>
            <w:shd w:val="clear" w:color="auto" w:fill="auto"/>
            <w:tcMar>
              <w:top w:w="15" w:type="dxa"/>
              <w:left w:w="15" w:type="dxa"/>
              <w:bottom w:w="0" w:type="dxa"/>
              <w:right w:w="15" w:type="dxa"/>
            </w:tcMar>
            <w:vAlign w:val="center"/>
          </w:tcPr>
          <w:p>
            <w:pPr>
              <w:widowControl/>
              <w:jc w:val="left"/>
              <w:outlineLvl w:val="0"/>
              <w:rPr>
                <w:rFonts w:asciiTheme="minorEastAsia" w:hAnsiTheme="minorEastAsia" w:eastAsiaTheme="minorEastAsia"/>
                <w:sz w:val="20"/>
                <w:szCs w:val="20"/>
              </w:rPr>
            </w:pPr>
            <w:r>
              <w:rPr>
                <w:rFonts w:asciiTheme="minorEastAsia" w:hAnsiTheme="minorEastAsia" w:eastAsiaTheme="minorEastAsia"/>
                <w:sz w:val="20"/>
                <w:szCs w:val="20"/>
              </w:rPr>
              <w:t>2.药品及</w:t>
            </w:r>
            <w:r>
              <w:rPr>
                <w:rFonts w:hint="eastAsia" w:asciiTheme="minorEastAsia" w:hAnsiTheme="minorEastAsia" w:eastAsiaTheme="minorEastAsia"/>
                <w:sz w:val="20"/>
                <w:szCs w:val="20"/>
              </w:rPr>
              <w:t>部分</w:t>
            </w:r>
            <w:r>
              <w:rPr>
                <w:rFonts w:asciiTheme="minorEastAsia" w:hAnsiTheme="minorEastAsia" w:eastAsiaTheme="minorEastAsia"/>
                <w:sz w:val="20"/>
                <w:szCs w:val="20"/>
              </w:rPr>
              <w:t>材料自费费用保障</w:t>
            </w:r>
          </w:p>
        </w:tc>
        <w:tc>
          <w:tcPr>
            <w:tcW w:w="4035" w:type="dxa"/>
            <w:shd w:val="clear" w:color="auto" w:fill="auto"/>
            <w:tcMar>
              <w:top w:w="15" w:type="dxa"/>
              <w:left w:w="15" w:type="dxa"/>
              <w:bottom w:w="0" w:type="dxa"/>
              <w:right w:w="15" w:type="dxa"/>
            </w:tcMar>
            <w:vAlign w:val="center"/>
          </w:tcPr>
          <w:p>
            <w:pPr>
              <w:jc w:val="center"/>
              <w:outlineLvl w:val="0"/>
              <w:rPr>
                <w:rFonts w:asciiTheme="minorEastAsia" w:hAnsiTheme="minorEastAsia" w:eastAsiaTheme="minorEastAsia"/>
                <w:sz w:val="20"/>
                <w:szCs w:val="20"/>
              </w:rPr>
            </w:pPr>
            <w:r>
              <w:rPr>
                <w:rFonts w:asciiTheme="minorEastAsia" w:hAnsiTheme="minorEastAsia" w:eastAsiaTheme="minorEastAsia"/>
                <w:sz w:val="20"/>
                <w:szCs w:val="20"/>
              </w:rPr>
              <w:t>1万</w:t>
            </w:r>
            <w:r>
              <w:rPr>
                <w:rFonts w:hint="eastAsia" w:asciiTheme="minorEastAsia" w:hAnsiTheme="minorEastAsia" w:eastAsiaTheme="minorEastAsia"/>
                <w:sz w:val="20"/>
                <w:szCs w:val="20"/>
              </w:rPr>
              <w:t>元</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85" w:hRule="atLeast"/>
        </w:trPr>
        <w:tc>
          <w:tcPr>
            <w:tcW w:w="1474" w:type="dxa"/>
            <w:vMerge w:val="continue"/>
            <w:shd w:val="clear" w:color="auto" w:fill="auto"/>
            <w:tcMar>
              <w:top w:w="15" w:type="dxa"/>
              <w:left w:w="15" w:type="dxa"/>
              <w:bottom w:w="0" w:type="dxa"/>
              <w:right w:w="15" w:type="dxa"/>
            </w:tcMar>
            <w:vAlign w:val="center"/>
          </w:tcPr>
          <w:p>
            <w:pPr>
              <w:jc w:val="left"/>
              <w:outlineLvl w:val="0"/>
              <w:rPr>
                <w:sz w:val="24"/>
              </w:rPr>
            </w:pPr>
          </w:p>
        </w:tc>
        <w:tc>
          <w:tcPr>
            <w:tcW w:w="4208" w:type="dxa"/>
            <w:shd w:val="clear" w:color="auto" w:fill="auto"/>
            <w:tcMar>
              <w:top w:w="15" w:type="dxa"/>
              <w:left w:w="15" w:type="dxa"/>
              <w:bottom w:w="0" w:type="dxa"/>
              <w:right w:w="15" w:type="dxa"/>
            </w:tcMar>
            <w:vAlign w:val="center"/>
          </w:tcPr>
          <w:p>
            <w:pPr>
              <w:outlineLvl w:val="0"/>
              <w:rPr>
                <w:rFonts w:asciiTheme="minorEastAsia" w:hAnsiTheme="minorEastAsia" w:eastAsiaTheme="minorEastAsia"/>
                <w:sz w:val="20"/>
                <w:szCs w:val="20"/>
              </w:rPr>
            </w:pPr>
            <w:r>
              <w:rPr>
                <w:rFonts w:asciiTheme="minorEastAsia" w:hAnsiTheme="minorEastAsia" w:eastAsiaTheme="minorEastAsia"/>
                <w:sz w:val="20"/>
                <w:szCs w:val="20"/>
              </w:rPr>
              <w:t>3.高额外购自费药品费用保障</w:t>
            </w:r>
          </w:p>
        </w:tc>
        <w:tc>
          <w:tcPr>
            <w:tcW w:w="4035" w:type="dxa"/>
            <w:shd w:val="clear" w:color="auto" w:fill="auto"/>
            <w:tcMar>
              <w:top w:w="15" w:type="dxa"/>
              <w:left w:w="15" w:type="dxa"/>
              <w:bottom w:w="0" w:type="dxa"/>
              <w:right w:w="15" w:type="dxa"/>
            </w:tcMar>
            <w:vAlign w:val="center"/>
          </w:tcPr>
          <w:p>
            <w:pPr>
              <w:jc w:val="center"/>
              <w:outlineLvl w:val="0"/>
              <w:rPr>
                <w:rFonts w:asciiTheme="minorEastAsia" w:hAnsiTheme="minorEastAsia" w:eastAsiaTheme="minorEastAsia"/>
                <w:sz w:val="20"/>
                <w:szCs w:val="20"/>
              </w:rPr>
            </w:pPr>
            <w:r>
              <w:rPr>
                <w:rFonts w:asciiTheme="minorEastAsia" w:hAnsiTheme="minorEastAsia" w:eastAsiaTheme="minorEastAsia"/>
                <w:sz w:val="20"/>
                <w:szCs w:val="20"/>
              </w:rPr>
              <w:t>1万</w:t>
            </w:r>
            <w:r>
              <w:rPr>
                <w:rFonts w:hint="eastAsia" w:asciiTheme="minorEastAsia" w:hAnsiTheme="minorEastAsia" w:eastAsiaTheme="minorEastAsia"/>
                <w:sz w:val="20"/>
                <w:szCs w:val="20"/>
              </w:rPr>
              <w:t>元</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38" w:hRule="atLeast"/>
        </w:trPr>
        <w:tc>
          <w:tcPr>
            <w:tcW w:w="1474" w:type="dxa"/>
            <w:shd w:val="clear" w:color="auto" w:fill="auto"/>
            <w:tcMar>
              <w:top w:w="15" w:type="dxa"/>
              <w:left w:w="15" w:type="dxa"/>
              <w:bottom w:w="0" w:type="dxa"/>
              <w:right w:w="15" w:type="dxa"/>
            </w:tcMar>
            <w:vAlign w:val="center"/>
          </w:tcPr>
          <w:p>
            <w:pPr>
              <w:jc w:val="center"/>
              <w:rPr>
                <w:sz w:val="24"/>
              </w:rPr>
            </w:pPr>
            <w:r>
              <w:rPr>
                <w:b/>
                <w:bCs/>
                <w:sz w:val="24"/>
              </w:rPr>
              <w:t>增值服务</w:t>
            </w:r>
          </w:p>
        </w:tc>
        <w:tc>
          <w:tcPr>
            <w:tcW w:w="8243" w:type="dxa"/>
            <w:gridSpan w:val="2"/>
            <w:shd w:val="clear" w:color="auto" w:fill="auto"/>
            <w:tcMar>
              <w:top w:w="15" w:type="dxa"/>
              <w:left w:w="15" w:type="dxa"/>
              <w:bottom w:w="0" w:type="dxa"/>
              <w:right w:w="15" w:type="dxa"/>
            </w:tcMar>
            <w:vAlign w:val="center"/>
          </w:tcPr>
          <w:p>
            <w:pPr>
              <w:jc w:val="left"/>
              <w:outlineLvl w:val="0"/>
              <w:rPr>
                <w:rFonts w:asciiTheme="minorEastAsia" w:hAnsiTheme="minorEastAsia" w:eastAsiaTheme="minorEastAsia"/>
                <w:sz w:val="20"/>
                <w:szCs w:val="20"/>
              </w:rPr>
            </w:pPr>
            <w:r>
              <w:rPr>
                <w:rFonts w:asciiTheme="minorEastAsia" w:hAnsiTheme="minorEastAsia" w:eastAsiaTheme="minorEastAsia"/>
                <w:sz w:val="20"/>
                <w:szCs w:val="20"/>
              </w:rPr>
              <w:t>药店购药直付、援助用药申请指导（PAP）、国内预约购药及配送服务、</w:t>
            </w:r>
            <w:r>
              <w:rPr>
                <w:rFonts w:hint="eastAsia" w:asciiTheme="minorEastAsia" w:hAnsiTheme="minorEastAsia" w:eastAsiaTheme="minorEastAsia"/>
                <w:sz w:val="20"/>
                <w:szCs w:val="20"/>
              </w:rPr>
              <w:t>罗氏肿瘤</w:t>
            </w:r>
            <w:r>
              <w:rPr>
                <w:rFonts w:asciiTheme="minorEastAsia" w:hAnsiTheme="minorEastAsia" w:eastAsiaTheme="minorEastAsia"/>
                <w:sz w:val="20"/>
                <w:szCs w:val="20"/>
              </w:rPr>
              <w:t>基因检测</w:t>
            </w:r>
            <w:r>
              <w:rPr>
                <w:rFonts w:hint="eastAsia" w:asciiTheme="minorEastAsia" w:hAnsiTheme="minorEastAsia" w:eastAsiaTheme="minorEastAsia"/>
                <w:sz w:val="20"/>
                <w:szCs w:val="20"/>
              </w:rPr>
              <w:t>专属福利</w:t>
            </w:r>
            <w:r>
              <w:rPr>
                <w:rFonts w:asciiTheme="minorEastAsia" w:hAnsiTheme="minorEastAsia" w:eastAsiaTheme="minorEastAsia"/>
                <w:sz w:val="20"/>
                <w:szCs w:val="20"/>
              </w:rPr>
              <w:t>、重大疾病早筛服务</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39" w:hRule="atLeast"/>
        </w:trPr>
        <w:tc>
          <w:tcPr>
            <w:tcW w:w="1474" w:type="dxa"/>
            <w:shd w:val="clear" w:color="auto" w:fill="auto"/>
            <w:tcMar>
              <w:top w:w="15" w:type="dxa"/>
              <w:left w:w="15" w:type="dxa"/>
              <w:bottom w:w="0" w:type="dxa"/>
              <w:right w:w="15" w:type="dxa"/>
            </w:tcMar>
            <w:vAlign w:val="center"/>
          </w:tcPr>
          <w:p>
            <w:pPr>
              <w:jc w:val="center"/>
              <w:rPr>
                <w:b/>
                <w:bCs/>
                <w:sz w:val="24"/>
              </w:rPr>
            </w:pPr>
            <w:r>
              <w:rPr>
                <w:b/>
                <w:bCs/>
                <w:sz w:val="24"/>
              </w:rPr>
              <w:t>等待期</w:t>
            </w:r>
          </w:p>
        </w:tc>
        <w:tc>
          <w:tcPr>
            <w:tcW w:w="8243" w:type="dxa"/>
            <w:gridSpan w:val="2"/>
            <w:shd w:val="clear" w:color="auto" w:fill="auto"/>
            <w:tcMar>
              <w:top w:w="15" w:type="dxa"/>
              <w:left w:w="15" w:type="dxa"/>
              <w:bottom w:w="0" w:type="dxa"/>
              <w:right w:w="15" w:type="dxa"/>
            </w:tcMar>
            <w:vAlign w:val="center"/>
          </w:tcPr>
          <w:p>
            <w:pPr>
              <w:jc w:val="center"/>
              <w:outlineLvl w:val="0"/>
              <w:rPr>
                <w:rFonts w:asciiTheme="minorEastAsia" w:hAnsiTheme="minorEastAsia" w:eastAsiaTheme="minorEastAsia"/>
                <w:sz w:val="20"/>
                <w:szCs w:val="20"/>
              </w:rPr>
            </w:pPr>
            <w:r>
              <w:rPr>
                <w:rFonts w:asciiTheme="minorEastAsia" w:hAnsiTheme="minorEastAsia" w:eastAsiaTheme="minorEastAsia"/>
                <w:sz w:val="20"/>
                <w:szCs w:val="20"/>
              </w:rPr>
              <w:t>无</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40" w:hRule="atLeast"/>
        </w:trPr>
        <w:tc>
          <w:tcPr>
            <w:tcW w:w="1474" w:type="dxa"/>
            <w:shd w:val="clear" w:color="auto" w:fill="auto"/>
            <w:tcMar>
              <w:top w:w="15" w:type="dxa"/>
              <w:left w:w="15" w:type="dxa"/>
              <w:bottom w:w="0" w:type="dxa"/>
              <w:right w:w="15" w:type="dxa"/>
            </w:tcMar>
            <w:vAlign w:val="center"/>
          </w:tcPr>
          <w:p>
            <w:pPr>
              <w:jc w:val="center"/>
              <w:rPr>
                <w:b/>
                <w:bCs/>
                <w:sz w:val="24"/>
              </w:rPr>
            </w:pPr>
            <w:r>
              <w:rPr>
                <w:b/>
                <w:bCs/>
                <w:sz w:val="24"/>
              </w:rPr>
              <w:t>投保年龄</w:t>
            </w:r>
          </w:p>
        </w:tc>
        <w:tc>
          <w:tcPr>
            <w:tcW w:w="8243" w:type="dxa"/>
            <w:gridSpan w:val="2"/>
            <w:shd w:val="clear" w:color="auto" w:fill="auto"/>
            <w:tcMar>
              <w:top w:w="15" w:type="dxa"/>
              <w:left w:w="15" w:type="dxa"/>
              <w:bottom w:w="0" w:type="dxa"/>
              <w:right w:w="15" w:type="dxa"/>
            </w:tcMar>
            <w:vAlign w:val="center"/>
          </w:tcPr>
          <w:p>
            <w:pPr>
              <w:jc w:val="center"/>
              <w:outlineLvl w:val="0"/>
              <w:rPr>
                <w:rFonts w:asciiTheme="minorEastAsia" w:hAnsiTheme="minorEastAsia" w:eastAsiaTheme="minorEastAsia"/>
                <w:sz w:val="20"/>
                <w:szCs w:val="20"/>
              </w:rPr>
            </w:pPr>
            <w:r>
              <w:rPr>
                <w:rFonts w:asciiTheme="minorEastAsia" w:hAnsiTheme="minorEastAsia" w:eastAsiaTheme="minorEastAsia"/>
                <w:sz w:val="20"/>
                <w:szCs w:val="20"/>
              </w:rPr>
              <w:t>无年龄限制</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26" w:hRule="atLeast"/>
        </w:trPr>
        <w:tc>
          <w:tcPr>
            <w:tcW w:w="1474" w:type="dxa"/>
            <w:shd w:val="clear" w:color="auto" w:fill="auto"/>
            <w:tcMar>
              <w:top w:w="15" w:type="dxa"/>
              <w:left w:w="15" w:type="dxa"/>
              <w:bottom w:w="0" w:type="dxa"/>
              <w:right w:w="15" w:type="dxa"/>
            </w:tcMar>
            <w:vAlign w:val="center"/>
          </w:tcPr>
          <w:p>
            <w:pPr>
              <w:jc w:val="center"/>
              <w:rPr>
                <w:b/>
                <w:bCs/>
                <w:sz w:val="24"/>
              </w:rPr>
            </w:pPr>
            <w:r>
              <w:rPr>
                <w:b/>
                <w:bCs/>
                <w:sz w:val="24"/>
              </w:rPr>
              <w:t xml:space="preserve">适用人群 </w:t>
            </w:r>
          </w:p>
        </w:tc>
        <w:tc>
          <w:tcPr>
            <w:tcW w:w="8243" w:type="dxa"/>
            <w:gridSpan w:val="2"/>
            <w:shd w:val="clear" w:color="auto" w:fill="auto"/>
            <w:tcMar>
              <w:top w:w="15" w:type="dxa"/>
              <w:left w:w="15" w:type="dxa"/>
              <w:bottom w:w="0" w:type="dxa"/>
              <w:right w:w="15" w:type="dxa"/>
            </w:tcMar>
            <w:vAlign w:val="center"/>
          </w:tcPr>
          <w:p>
            <w:pPr>
              <w:jc w:val="center"/>
              <w:outlineLvl w:val="0"/>
              <w:rPr>
                <w:rFonts w:asciiTheme="minorEastAsia" w:hAnsiTheme="minorEastAsia" w:eastAsiaTheme="minorEastAsia"/>
                <w:sz w:val="20"/>
                <w:szCs w:val="20"/>
              </w:rPr>
            </w:pPr>
            <w:r>
              <w:rPr>
                <w:rFonts w:asciiTheme="minorEastAsia" w:hAnsiTheme="minorEastAsia" w:eastAsiaTheme="minorEastAsia"/>
                <w:sz w:val="20"/>
                <w:szCs w:val="20"/>
              </w:rPr>
              <w:t>绍兴市基本医疗保险参保人（含职工医保、居民医保）</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25" w:hRule="atLeast"/>
        </w:trPr>
        <w:tc>
          <w:tcPr>
            <w:tcW w:w="1474" w:type="dxa"/>
            <w:shd w:val="clear" w:color="auto" w:fill="auto"/>
            <w:tcMar>
              <w:top w:w="15" w:type="dxa"/>
              <w:left w:w="15" w:type="dxa"/>
              <w:bottom w:w="0" w:type="dxa"/>
              <w:right w:w="15" w:type="dxa"/>
            </w:tcMar>
            <w:vAlign w:val="center"/>
          </w:tcPr>
          <w:p>
            <w:pPr>
              <w:jc w:val="center"/>
              <w:rPr>
                <w:b/>
                <w:bCs/>
                <w:sz w:val="24"/>
              </w:rPr>
            </w:pPr>
            <w:r>
              <w:rPr>
                <w:rFonts w:hint="eastAsia"/>
                <w:b/>
                <w:bCs/>
                <w:sz w:val="24"/>
              </w:rPr>
              <w:t>投</w:t>
            </w:r>
            <w:r>
              <w:rPr>
                <w:b/>
                <w:bCs/>
                <w:sz w:val="24"/>
              </w:rPr>
              <w:t>保</w:t>
            </w:r>
            <w:r>
              <w:rPr>
                <w:rFonts w:hint="eastAsia"/>
                <w:b/>
                <w:bCs/>
                <w:sz w:val="24"/>
              </w:rPr>
              <w:t>时</w:t>
            </w:r>
            <w:r>
              <w:rPr>
                <w:b/>
                <w:bCs/>
                <w:sz w:val="24"/>
              </w:rPr>
              <w:t>间</w:t>
            </w:r>
          </w:p>
        </w:tc>
        <w:tc>
          <w:tcPr>
            <w:tcW w:w="8243" w:type="dxa"/>
            <w:gridSpan w:val="2"/>
            <w:shd w:val="clear" w:color="auto" w:fill="auto"/>
            <w:tcMar>
              <w:top w:w="15" w:type="dxa"/>
              <w:left w:w="15" w:type="dxa"/>
              <w:bottom w:w="0" w:type="dxa"/>
              <w:right w:w="15" w:type="dxa"/>
            </w:tcMar>
            <w:vAlign w:val="center"/>
          </w:tcPr>
          <w:p>
            <w:pPr>
              <w:jc w:val="center"/>
              <w:outlineLvl w:val="0"/>
              <w:rPr>
                <w:rFonts w:asciiTheme="minorEastAsia" w:hAnsiTheme="minorEastAsia" w:eastAsiaTheme="minorEastAsia"/>
                <w:sz w:val="20"/>
                <w:szCs w:val="20"/>
              </w:rPr>
            </w:pPr>
            <w:bookmarkStart w:id="0" w:name="_Hlk57970333"/>
            <w:r>
              <w:rPr>
                <w:rFonts w:asciiTheme="minorEastAsia" w:hAnsiTheme="minorEastAsia" w:eastAsiaTheme="minorEastAsia"/>
                <w:sz w:val="20"/>
                <w:szCs w:val="20"/>
              </w:rPr>
              <w:t>即日起—2021年</w:t>
            </w:r>
            <w:r>
              <w:rPr>
                <w:rFonts w:hint="eastAsia" w:asciiTheme="minorEastAsia" w:hAnsiTheme="minorEastAsia" w:eastAsiaTheme="minorEastAsia"/>
                <w:sz w:val="20"/>
                <w:szCs w:val="20"/>
              </w:rPr>
              <w:t>3</w:t>
            </w:r>
            <w:r>
              <w:rPr>
                <w:rFonts w:asciiTheme="minorEastAsia" w:hAnsiTheme="minorEastAsia" w:eastAsiaTheme="minorEastAsia"/>
                <w:sz w:val="20"/>
                <w:szCs w:val="20"/>
              </w:rPr>
              <w:t>月</w:t>
            </w:r>
            <w:r>
              <w:rPr>
                <w:rFonts w:hint="eastAsia" w:asciiTheme="minorEastAsia" w:hAnsiTheme="minorEastAsia" w:eastAsiaTheme="minorEastAsia"/>
                <w:sz w:val="20"/>
                <w:szCs w:val="20"/>
              </w:rPr>
              <w:t>31</w:t>
            </w:r>
            <w:r>
              <w:rPr>
                <w:rFonts w:asciiTheme="minorEastAsia" w:hAnsiTheme="minorEastAsia" w:eastAsiaTheme="minorEastAsia"/>
                <w:sz w:val="20"/>
                <w:szCs w:val="20"/>
              </w:rPr>
              <w:t>日</w:t>
            </w:r>
            <w:bookmarkEnd w:id="0"/>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95" w:hRule="atLeast"/>
        </w:trPr>
        <w:tc>
          <w:tcPr>
            <w:tcW w:w="1474" w:type="dxa"/>
            <w:shd w:val="clear" w:color="auto" w:fill="auto"/>
            <w:tcMar>
              <w:top w:w="15" w:type="dxa"/>
              <w:left w:w="15" w:type="dxa"/>
              <w:bottom w:w="0" w:type="dxa"/>
              <w:right w:w="15" w:type="dxa"/>
            </w:tcMar>
            <w:vAlign w:val="center"/>
          </w:tcPr>
          <w:p>
            <w:pPr>
              <w:jc w:val="center"/>
              <w:rPr>
                <w:b/>
                <w:bCs/>
                <w:sz w:val="24"/>
              </w:rPr>
            </w:pPr>
            <w:r>
              <w:rPr>
                <w:b/>
                <w:bCs/>
                <w:sz w:val="24"/>
              </w:rPr>
              <w:t>保险期间</w:t>
            </w:r>
          </w:p>
        </w:tc>
        <w:tc>
          <w:tcPr>
            <w:tcW w:w="8243" w:type="dxa"/>
            <w:gridSpan w:val="2"/>
            <w:tcBorders>
              <w:bottom w:val="single" w:color="auto" w:sz="4" w:space="0"/>
            </w:tcBorders>
            <w:shd w:val="clear" w:color="auto" w:fill="auto"/>
            <w:tcMar>
              <w:top w:w="15" w:type="dxa"/>
              <w:left w:w="15" w:type="dxa"/>
              <w:bottom w:w="0" w:type="dxa"/>
              <w:right w:w="15" w:type="dxa"/>
            </w:tcMar>
            <w:vAlign w:val="center"/>
          </w:tcPr>
          <w:p>
            <w:pPr>
              <w:jc w:val="center"/>
              <w:outlineLvl w:val="0"/>
              <w:rPr>
                <w:rFonts w:asciiTheme="minorEastAsia" w:hAnsiTheme="minorEastAsia" w:eastAsiaTheme="minorEastAsia"/>
                <w:sz w:val="20"/>
                <w:szCs w:val="20"/>
              </w:rPr>
            </w:pPr>
            <w:bookmarkStart w:id="1" w:name="_Hlk57970354"/>
            <w:r>
              <w:rPr>
                <w:rFonts w:asciiTheme="minorEastAsia" w:hAnsiTheme="minorEastAsia" w:eastAsiaTheme="minorEastAsia"/>
                <w:sz w:val="20"/>
                <w:szCs w:val="20"/>
              </w:rPr>
              <w:t>2021年1月1日0时-2021年12月31日24时</w:t>
            </w:r>
            <w:bookmarkEnd w:id="1"/>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40" w:hRule="atLeast"/>
        </w:trPr>
        <w:tc>
          <w:tcPr>
            <w:tcW w:w="1474" w:type="dxa"/>
            <w:shd w:val="clear" w:color="auto" w:fill="auto"/>
            <w:tcMar>
              <w:top w:w="15" w:type="dxa"/>
              <w:left w:w="15" w:type="dxa"/>
              <w:bottom w:w="0" w:type="dxa"/>
              <w:right w:w="15" w:type="dxa"/>
            </w:tcMar>
            <w:vAlign w:val="center"/>
          </w:tcPr>
          <w:p>
            <w:pPr>
              <w:jc w:val="center"/>
              <w:rPr>
                <w:b/>
                <w:bCs/>
                <w:sz w:val="24"/>
              </w:rPr>
            </w:pPr>
            <w:r>
              <w:rPr>
                <w:b/>
                <w:bCs/>
                <w:sz w:val="24"/>
              </w:rPr>
              <w:t>保费</w:t>
            </w:r>
          </w:p>
        </w:tc>
        <w:tc>
          <w:tcPr>
            <w:tcW w:w="8243" w:type="dxa"/>
            <w:gridSpan w:val="2"/>
            <w:shd w:val="clear" w:color="auto" w:fill="auto"/>
            <w:tcMar>
              <w:top w:w="15" w:type="dxa"/>
              <w:left w:w="15" w:type="dxa"/>
              <w:bottom w:w="0" w:type="dxa"/>
              <w:right w:w="15" w:type="dxa"/>
            </w:tcMar>
            <w:vAlign w:val="center"/>
          </w:tcPr>
          <w:p>
            <w:pPr>
              <w:jc w:val="center"/>
              <w:outlineLvl w:val="0"/>
              <w:rPr>
                <w:rFonts w:asciiTheme="minorEastAsia" w:hAnsiTheme="minorEastAsia" w:eastAsiaTheme="minorEastAsia"/>
                <w:sz w:val="20"/>
                <w:szCs w:val="20"/>
              </w:rPr>
            </w:pPr>
            <w:r>
              <w:rPr>
                <w:rFonts w:hint="eastAsia" w:asciiTheme="minorEastAsia" w:hAnsiTheme="minorEastAsia" w:eastAsiaTheme="minorEastAsia"/>
                <w:sz w:val="20"/>
                <w:szCs w:val="20"/>
              </w:rPr>
              <w:t>每人</w:t>
            </w:r>
            <w:r>
              <w:rPr>
                <w:rFonts w:asciiTheme="minorEastAsia" w:hAnsiTheme="minorEastAsia" w:eastAsiaTheme="minorEastAsia"/>
                <w:sz w:val="20"/>
                <w:szCs w:val="20"/>
              </w:rPr>
              <w:t>100元/</w:t>
            </w:r>
            <w:r>
              <w:rPr>
                <w:rFonts w:hint="eastAsia" w:asciiTheme="minorEastAsia" w:hAnsiTheme="minorEastAsia" w:eastAsiaTheme="minorEastAsia"/>
                <w:sz w:val="20"/>
                <w:szCs w:val="20"/>
              </w:rPr>
              <w:t>年</w:t>
            </w:r>
          </w:p>
        </w:tc>
      </w:tr>
    </w:tbl>
    <w:p/>
    <w:p>
      <w:pPr>
        <w:jc w:val="center"/>
        <w:rPr>
          <w:rFonts w:ascii="华文中宋" w:hAnsi="华文中宋" w:eastAsia="华文中宋" w:cs="华文中宋"/>
          <w:b/>
          <w:sz w:val="36"/>
          <w:szCs w:val="36"/>
        </w:rPr>
      </w:pPr>
      <w:r>
        <w:rPr>
          <w:rFonts w:hint="eastAsia" w:ascii="华文中宋" w:hAnsi="华文中宋" w:eastAsia="华文中宋" w:cs="华文中宋"/>
          <w:b/>
          <w:sz w:val="36"/>
          <w:szCs w:val="36"/>
        </w:rPr>
        <w:t>越惠保高额外购自费药品目录</w:t>
      </w:r>
    </w:p>
    <w:p>
      <w:pPr>
        <w:pStyle w:val="2"/>
      </w:pPr>
    </w:p>
    <w:tbl>
      <w:tblPr>
        <w:tblStyle w:val="4"/>
        <w:tblW w:w="8710" w:type="dxa"/>
        <w:tblInd w:w="0" w:type="dxa"/>
        <w:tblLayout w:type="autofit"/>
        <w:tblCellMar>
          <w:top w:w="0" w:type="dxa"/>
          <w:left w:w="0" w:type="dxa"/>
          <w:bottom w:w="0" w:type="dxa"/>
          <w:right w:w="113" w:type="dxa"/>
        </w:tblCellMar>
      </w:tblPr>
      <w:tblGrid>
        <w:gridCol w:w="592"/>
        <w:gridCol w:w="1000"/>
        <w:gridCol w:w="1093"/>
        <w:gridCol w:w="774"/>
        <w:gridCol w:w="1017"/>
        <w:gridCol w:w="4234"/>
      </w:tblGrid>
      <w:tr>
        <w:tblPrEx>
          <w:tblCellMar>
            <w:top w:w="0" w:type="dxa"/>
            <w:left w:w="0" w:type="dxa"/>
            <w:bottom w:w="0" w:type="dxa"/>
            <w:right w:w="113" w:type="dxa"/>
          </w:tblCellMar>
        </w:tblPrEx>
        <w:trPr>
          <w:trHeight w:val="515" w:hRule="atLeast"/>
        </w:trPr>
        <w:tc>
          <w:tcPr>
            <w:tcW w:w="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sz w:val="24"/>
              </w:rPr>
            </w:pPr>
            <w:r>
              <w:rPr>
                <w:rFonts w:hint="eastAsia" w:ascii="宋体" w:hAnsi="宋体" w:cs="宋体"/>
                <w:b/>
                <w:color w:val="000000"/>
                <w:kern w:val="0"/>
                <w:sz w:val="24"/>
                <w:lang w:bidi="ar"/>
              </w:rPr>
              <w:t>序号</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sz w:val="24"/>
              </w:rPr>
            </w:pPr>
            <w:r>
              <w:rPr>
                <w:rFonts w:hint="eastAsia" w:ascii="宋体" w:hAnsi="宋体" w:cs="宋体"/>
                <w:b/>
                <w:color w:val="000000"/>
                <w:kern w:val="0"/>
                <w:sz w:val="24"/>
                <w:lang w:bidi="ar"/>
              </w:rPr>
              <w:t>商品名</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sz w:val="24"/>
              </w:rPr>
            </w:pPr>
            <w:r>
              <w:rPr>
                <w:rFonts w:hint="eastAsia" w:ascii="宋体" w:hAnsi="宋体" w:cs="宋体"/>
                <w:b/>
                <w:color w:val="000000"/>
                <w:kern w:val="0"/>
                <w:sz w:val="24"/>
                <w:lang w:bidi="ar"/>
              </w:rPr>
              <w:t>通用名</w:t>
            </w:r>
          </w:p>
        </w:tc>
        <w:tc>
          <w:tcPr>
            <w:tcW w:w="7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sz w:val="24"/>
              </w:rPr>
            </w:pPr>
            <w:r>
              <w:rPr>
                <w:rFonts w:hint="eastAsia" w:ascii="宋体" w:hAnsi="宋体" w:cs="宋体"/>
                <w:b/>
                <w:color w:val="000000"/>
                <w:kern w:val="0"/>
                <w:sz w:val="24"/>
                <w:lang w:bidi="ar"/>
              </w:rPr>
              <w:t>厂商</w:t>
            </w:r>
          </w:p>
        </w:tc>
        <w:tc>
          <w:tcPr>
            <w:tcW w:w="10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sz w:val="24"/>
              </w:rPr>
            </w:pPr>
            <w:r>
              <w:rPr>
                <w:rFonts w:hint="eastAsia" w:ascii="宋体" w:hAnsi="宋体" w:cs="宋体"/>
                <w:b/>
                <w:color w:val="000000"/>
                <w:kern w:val="0"/>
                <w:sz w:val="24"/>
                <w:lang w:bidi="ar"/>
              </w:rPr>
              <w:t>疾病种类</w:t>
            </w:r>
          </w:p>
        </w:tc>
        <w:tc>
          <w:tcPr>
            <w:tcW w:w="4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000000"/>
                <w:sz w:val="24"/>
              </w:rPr>
            </w:pPr>
            <w:r>
              <w:rPr>
                <w:rFonts w:hint="eastAsia" w:ascii="宋体" w:hAnsi="宋体" w:cs="宋体"/>
                <w:b/>
                <w:color w:val="000000"/>
                <w:kern w:val="0"/>
                <w:sz w:val="24"/>
                <w:lang w:bidi="ar"/>
              </w:rPr>
              <w:t>适应症限制</w:t>
            </w:r>
          </w:p>
        </w:tc>
      </w:tr>
      <w:tr>
        <w:tblPrEx>
          <w:tblCellMar>
            <w:top w:w="0" w:type="dxa"/>
            <w:left w:w="0" w:type="dxa"/>
            <w:bottom w:w="0" w:type="dxa"/>
            <w:right w:w="113" w:type="dxa"/>
          </w:tblCellMar>
        </w:tblPrEx>
        <w:trPr>
          <w:trHeight w:val="2634" w:hRule="atLeast"/>
        </w:trPr>
        <w:tc>
          <w:tcPr>
            <w:tcW w:w="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Microsoft YaHei UI" w:hAnsi="Microsoft YaHei UI" w:eastAsia="Microsoft YaHei UI" w:cs="Microsoft YaHei UI"/>
                <w:color w:val="000000"/>
                <w:sz w:val="20"/>
                <w:szCs w:val="20"/>
              </w:rPr>
            </w:pPr>
            <w:r>
              <w:rPr>
                <w:rFonts w:hint="eastAsia" w:ascii="Microsoft YaHei UI" w:hAnsi="Microsoft YaHei UI" w:eastAsia="Microsoft YaHei UI" w:cs="Microsoft YaHei UI"/>
                <w:color w:val="000000"/>
                <w:kern w:val="0"/>
                <w:sz w:val="20"/>
                <w:szCs w:val="20"/>
                <w:lang w:bidi="ar"/>
              </w:rPr>
              <w:t>1</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欧狄沃</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纳武利尤单抗</w:t>
            </w:r>
          </w:p>
        </w:tc>
        <w:tc>
          <w:tcPr>
            <w:tcW w:w="7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百时美施贵宝</w:t>
            </w:r>
          </w:p>
        </w:tc>
        <w:tc>
          <w:tcPr>
            <w:tcW w:w="10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肺癌，头颈癌，胃癌</w:t>
            </w:r>
          </w:p>
        </w:tc>
        <w:tc>
          <w:tcPr>
            <w:tcW w:w="4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限用于：1.单药治疗表皮生长因子受体（EGFR）基因突变阴性和间变性淋巴瘤激酶（ALK）阴性、既往接受过含铂方案化疗后疾病进展或不可耐受的局部晚期或转移性非小细胞肺癌（NSCLC）成人患者。2.治疗接受含铂类方案治疗期间或之后出现疾病进展，且肿瘤PD-L1表达阳性（表达PD-L1肿瘤细胞≥1%）的复发性或转移性头颈部鳞癌（SCCHN）患者。 3.接受过两种或两种以上全身治疗方案后的晚期或复发性胃腺癌和胃食道连接部腺癌。</w:t>
            </w:r>
          </w:p>
        </w:tc>
      </w:tr>
      <w:tr>
        <w:tblPrEx>
          <w:tblCellMar>
            <w:top w:w="0" w:type="dxa"/>
            <w:left w:w="0" w:type="dxa"/>
            <w:bottom w:w="0" w:type="dxa"/>
            <w:right w:w="113" w:type="dxa"/>
          </w:tblCellMar>
        </w:tblPrEx>
        <w:trPr>
          <w:trHeight w:val="600" w:hRule="atLeast"/>
        </w:trPr>
        <w:tc>
          <w:tcPr>
            <w:tcW w:w="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达希纳</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尼洛替尼</w:t>
            </w:r>
          </w:p>
        </w:tc>
        <w:tc>
          <w:tcPr>
            <w:tcW w:w="7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诺华</w:t>
            </w:r>
          </w:p>
        </w:tc>
        <w:tc>
          <w:tcPr>
            <w:tcW w:w="10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白血病</w:t>
            </w:r>
          </w:p>
        </w:tc>
        <w:tc>
          <w:tcPr>
            <w:tcW w:w="4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Style w:val="6"/>
                <w:rFonts w:hint="default"/>
                <w:lang w:bidi="ar"/>
              </w:rPr>
              <w:t>限用于治疗</w:t>
            </w:r>
            <w:r>
              <w:rPr>
                <w:rStyle w:val="6"/>
                <w:rFonts w:hint="eastAsia"/>
                <w:lang w:val="en-US" w:eastAsia="zh-CN" w:bidi="ar"/>
              </w:rPr>
              <w:t>2</w:t>
            </w:r>
            <w:r>
              <w:rPr>
                <w:rStyle w:val="6"/>
                <w:rFonts w:hint="default"/>
                <w:lang w:bidi="ar"/>
              </w:rPr>
              <w:t>岁以上儿童慢性髓性白血病。</w:t>
            </w:r>
          </w:p>
        </w:tc>
      </w:tr>
      <w:tr>
        <w:tblPrEx>
          <w:tblCellMar>
            <w:top w:w="0" w:type="dxa"/>
            <w:left w:w="0" w:type="dxa"/>
            <w:bottom w:w="0" w:type="dxa"/>
            <w:right w:w="113" w:type="dxa"/>
          </w:tblCellMar>
        </w:tblPrEx>
        <w:trPr>
          <w:trHeight w:val="741" w:hRule="atLeast"/>
        </w:trPr>
        <w:tc>
          <w:tcPr>
            <w:tcW w:w="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安可坦</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恩扎卢胺</w:t>
            </w:r>
          </w:p>
        </w:tc>
        <w:tc>
          <w:tcPr>
            <w:tcW w:w="7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安斯泰来</w:t>
            </w:r>
          </w:p>
        </w:tc>
        <w:tc>
          <w:tcPr>
            <w:tcW w:w="10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前列腺癌</w:t>
            </w:r>
          </w:p>
        </w:tc>
        <w:tc>
          <w:tcPr>
            <w:tcW w:w="4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Style w:val="6"/>
                <w:rFonts w:hint="default"/>
                <w:lang w:bidi="ar"/>
              </w:rPr>
              <w:t>限用于治疗非转移性去势抵抗性前列腺癌（</w:t>
            </w:r>
            <w:r>
              <w:rPr>
                <w:rStyle w:val="7"/>
                <w:rFonts w:hint="default"/>
                <w:lang w:bidi="ar"/>
              </w:rPr>
              <w:t>CRPC</w:t>
            </w:r>
            <w:r>
              <w:rPr>
                <w:rStyle w:val="6"/>
                <w:rFonts w:hint="default"/>
                <w:lang w:bidi="ar"/>
              </w:rPr>
              <w:t>）成年男性患者。</w:t>
            </w:r>
          </w:p>
        </w:tc>
      </w:tr>
      <w:tr>
        <w:tblPrEx>
          <w:tblCellMar>
            <w:top w:w="0" w:type="dxa"/>
            <w:left w:w="0" w:type="dxa"/>
            <w:bottom w:w="0" w:type="dxa"/>
            <w:right w:w="113" w:type="dxa"/>
          </w:tblCellMar>
        </w:tblPrEx>
        <w:trPr>
          <w:trHeight w:val="720" w:hRule="atLeast"/>
        </w:trPr>
        <w:tc>
          <w:tcPr>
            <w:tcW w:w="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贺俪安</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奈拉替尼</w:t>
            </w:r>
          </w:p>
        </w:tc>
        <w:tc>
          <w:tcPr>
            <w:tcW w:w="7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北海康成</w:t>
            </w:r>
          </w:p>
        </w:tc>
        <w:tc>
          <w:tcPr>
            <w:tcW w:w="10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乳腺癌</w:t>
            </w:r>
          </w:p>
        </w:tc>
        <w:tc>
          <w:tcPr>
            <w:tcW w:w="4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Style w:val="6"/>
                <w:rFonts w:hint="default"/>
                <w:lang w:bidi="ar"/>
              </w:rPr>
              <w:t>限用于既往接受曲妥珠单抗辅助治疗的</w:t>
            </w:r>
            <w:r>
              <w:rPr>
                <w:rStyle w:val="7"/>
                <w:rFonts w:hint="default"/>
                <w:lang w:bidi="ar"/>
              </w:rPr>
              <w:t>HER2</w:t>
            </w:r>
            <w:r>
              <w:rPr>
                <w:rStyle w:val="6"/>
                <w:rFonts w:hint="default"/>
                <w:lang w:bidi="ar"/>
              </w:rPr>
              <w:t>阳性早期乳腺癌患者的强化辅助治疗。</w:t>
            </w:r>
          </w:p>
        </w:tc>
      </w:tr>
      <w:tr>
        <w:tblPrEx>
          <w:tblCellMar>
            <w:top w:w="0" w:type="dxa"/>
            <w:left w:w="0" w:type="dxa"/>
            <w:bottom w:w="0" w:type="dxa"/>
            <w:right w:w="113" w:type="dxa"/>
          </w:tblCellMar>
        </w:tblPrEx>
        <w:trPr>
          <w:trHeight w:val="800" w:hRule="atLeast"/>
        </w:trPr>
        <w:tc>
          <w:tcPr>
            <w:tcW w:w="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lang w:bidi="ar"/>
              </w:rPr>
              <w:t>5</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lang w:bidi="ar"/>
              </w:rPr>
              <w:t>安森珂</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sz w:val="20"/>
                <w:szCs w:val="20"/>
              </w:rPr>
              <w:t>阿帕他胺</w:t>
            </w:r>
          </w:p>
        </w:tc>
        <w:tc>
          <w:tcPr>
            <w:tcW w:w="7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lang w:bidi="ar"/>
              </w:rPr>
              <w:t>西安杨森</w:t>
            </w:r>
          </w:p>
        </w:tc>
        <w:tc>
          <w:tcPr>
            <w:tcW w:w="10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lang w:bidi="ar"/>
              </w:rPr>
              <w:t>前列腺癌</w:t>
            </w:r>
          </w:p>
        </w:tc>
        <w:tc>
          <w:tcPr>
            <w:tcW w:w="4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 w:val="20"/>
                <w:szCs w:val="20"/>
              </w:rPr>
            </w:pPr>
            <w:r>
              <w:rPr>
                <w:rFonts w:hint="eastAsia" w:ascii="宋体" w:hAnsi="宋体" w:cs="宋体"/>
                <w:color w:val="auto"/>
                <w:kern w:val="0"/>
                <w:sz w:val="20"/>
                <w:szCs w:val="20"/>
                <w:lang w:bidi="ar"/>
              </w:rPr>
              <w:t>限用于治疗有高危转移风险的非转移性去势抵抗性前列腺癌（NM-CRPC）成年患者。</w:t>
            </w:r>
          </w:p>
        </w:tc>
      </w:tr>
      <w:tr>
        <w:tblPrEx>
          <w:tblCellMar>
            <w:top w:w="0" w:type="dxa"/>
            <w:left w:w="0" w:type="dxa"/>
            <w:bottom w:w="0" w:type="dxa"/>
            <w:right w:w="113" w:type="dxa"/>
          </w:tblCellMar>
        </w:tblPrEx>
        <w:trPr>
          <w:trHeight w:val="540" w:hRule="atLeast"/>
        </w:trPr>
        <w:tc>
          <w:tcPr>
            <w:tcW w:w="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费蒙格</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地加瑞克</w:t>
            </w:r>
          </w:p>
        </w:tc>
        <w:tc>
          <w:tcPr>
            <w:tcW w:w="7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辉凌制药</w:t>
            </w:r>
          </w:p>
        </w:tc>
        <w:tc>
          <w:tcPr>
            <w:tcW w:w="10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前列腺癌</w:t>
            </w:r>
          </w:p>
        </w:tc>
        <w:tc>
          <w:tcPr>
            <w:tcW w:w="4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限用于需要雄激素去势治疗的前列腺癌患者。</w:t>
            </w:r>
          </w:p>
        </w:tc>
      </w:tr>
      <w:tr>
        <w:tblPrEx>
          <w:tblCellMar>
            <w:top w:w="0" w:type="dxa"/>
            <w:left w:w="0" w:type="dxa"/>
            <w:bottom w:w="0" w:type="dxa"/>
            <w:right w:w="113" w:type="dxa"/>
          </w:tblCellMar>
        </w:tblPrEx>
        <w:trPr>
          <w:trHeight w:val="839" w:hRule="atLeast"/>
        </w:trPr>
        <w:tc>
          <w:tcPr>
            <w:tcW w:w="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7</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泰圣奇</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阿替利珠单抗</w:t>
            </w:r>
          </w:p>
        </w:tc>
        <w:tc>
          <w:tcPr>
            <w:tcW w:w="7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罗氏</w:t>
            </w:r>
          </w:p>
        </w:tc>
        <w:tc>
          <w:tcPr>
            <w:tcW w:w="10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肝癌</w:t>
            </w:r>
          </w:p>
        </w:tc>
        <w:tc>
          <w:tcPr>
            <w:tcW w:w="4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限用于联合贝伐珠单抗用于治疗既往未接受过系统治疗的不可切除肝细胞癌（HCC）患者。</w:t>
            </w:r>
          </w:p>
        </w:tc>
      </w:tr>
      <w:tr>
        <w:tblPrEx>
          <w:tblCellMar>
            <w:top w:w="0" w:type="dxa"/>
            <w:left w:w="0" w:type="dxa"/>
            <w:bottom w:w="0" w:type="dxa"/>
            <w:right w:w="113" w:type="dxa"/>
          </w:tblCellMar>
        </w:tblPrEx>
        <w:trPr>
          <w:trHeight w:val="680" w:hRule="atLeast"/>
        </w:trPr>
        <w:tc>
          <w:tcPr>
            <w:tcW w:w="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lang w:bidi="ar"/>
              </w:rPr>
              <w:t>8</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sz w:val="20"/>
                <w:szCs w:val="20"/>
              </w:rPr>
              <w:t>安维汀</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lang w:bidi="ar"/>
              </w:rPr>
              <w:t>贝伐珠单抗</w:t>
            </w:r>
          </w:p>
        </w:tc>
        <w:tc>
          <w:tcPr>
            <w:tcW w:w="7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lang w:bidi="ar"/>
              </w:rPr>
              <w:t>罗氏</w:t>
            </w:r>
          </w:p>
        </w:tc>
        <w:tc>
          <w:tcPr>
            <w:tcW w:w="10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20"/>
                <w:szCs w:val="20"/>
              </w:rPr>
            </w:pPr>
            <w:r>
              <w:rPr>
                <w:rFonts w:hint="eastAsia" w:ascii="宋体" w:hAnsi="宋体" w:cs="宋体"/>
                <w:color w:val="auto"/>
                <w:kern w:val="0"/>
                <w:sz w:val="20"/>
                <w:szCs w:val="20"/>
                <w:lang w:bidi="ar"/>
              </w:rPr>
              <w:t>肝癌</w:t>
            </w:r>
          </w:p>
        </w:tc>
        <w:tc>
          <w:tcPr>
            <w:tcW w:w="4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 w:val="20"/>
                <w:szCs w:val="20"/>
              </w:rPr>
            </w:pPr>
            <w:r>
              <w:rPr>
                <w:rFonts w:hint="eastAsia" w:ascii="宋体" w:hAnsi="宋体" w:cs="宋体"/>
                <w:color w:val="auto"/>
                <w:kern w:val="0"/>
                <w:sz w:val="20"/>
                <w:szCs w:val="20"/>
                <w:lang w:bidi="ar"/>
              </w:rPr>
              <w:t>限用于联合阿替利珠单抗用于治疗既往未接受过系统治疗的不可切除肝细胞癌（HCC）患者。</w:t>
            </w:r>
          </w:p>
        </w:tc>
      </w:tr>
      <w:tr>
        <w:tblPrEx>
          <w:tblCellMar>
            <w:top w:w="0" w:type="dxa"/>
            <w:left w:w="0" w:type="dxa"/>
            <w:bottom w:w="0" w:type="dxa"/>
            <w:right w:w="113" w:type="dxa"/>
          </w:tblCellMar>
        </w:tblPrEx>
        <w:trPr>
          <w:trHeight w:val="840" w:hRule="atLeast"/>
        </w:trPr>
        <w:tc>
          <w:tcPr>
            <w:tcW w:w="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9</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则乐</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尼拉帕利</w:t>
            </w:r>
          </w:p>
        </w:tc>
        <w:tc>
          <w:tcPr>
            <w:tcW w:w="7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再鼎医药</w:t>
            </w:r>
          </w:p>
        </w:tc>
        <w:tc>
          <w:tcPr>
            <w:tcW w:w="10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卵巢癌</w:t>
            </w:r>
          </w:p>
        </w:tc>
        <w:tc>
          <w:tcPr>
            <w:tcW w:w="4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限用于晚期上皮性卵巢癌、输卵管癌或原发性腹膜癌成人患者对一线含铂化疗达到完全缓解或部分缓解后的维持治疗。</w:t>
            </w:r>
          </w:p>
        </w:tc>
      </w:tr>
      <w:tr>
        <w:tblPrEx>
          <w:tblCellMar>
            <w:top w:w="0" w:type="dxa"/>
            <w:left w:w="0" w:type="dxa"/>
            <w:bottom w:w="0" w:type="dxa"/>
            <w:right w:w="113" w:type="dxa"/>
          </w:tblCellMar>
        </w:tblPrEx>
        <w:trPr>
          <w:trHeight w:val="800" w:hRule="atLeast"/>
        </w:trPr>
        <w:tc>
          <w:tcPr>
            <w:tcW w:w="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10</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英飞凡</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度伐利尤单抗</w:t>
            </w:r>
          </w:p>
        </w:tc>
        <w:tc>
          <w:tcPr>
            <w:tcW w:w="7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阿斯利康</w:t>
            </w:r>
          </w:p>
        </w:tc>
        <w:tc>
          <w:tcPr>
            <w:tcW w:w="10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肺癌</w:t>
            </w:r>
          </w:p>
        </w:tc>
        <w:tc>
          <w:tcPr>
            <w:tcW w:w="4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限用于在接受铂类药物为基础的化疗同步放疗后未出现疾病进展的不可切除、Ⅲ期非小细胞肺癌(NSCLC)患者的治疗。</w:t>
            </w:r>
          </w:p>
        </w:tc>
      </w:tr>
      <w:tr>
        <w:tblPrEx>
          <w:tblCellMar>
            <w:top w:w="0" w:type="dxa"/>
            <w:left w:w="0" w:type="dxa"/>
            <w:bottom w:w="0" w:type="dxa"/>
            <w:right w:w="113" w:type="dxa"/>
          </w:tblCellMar>
        </w:tblPrEx>
        <w:trPr>
          <w:trHeight w:val="980" w:hRule="atLeast"/>
        </w:trPr>
        <w:tc>
          <w:tcPr>
            <w:tcW w:w="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11</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多泽润</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达可替尼</w:t>
            </w:r>
          </w:p>
        </w:tc>
        <w:tc>
          <w:tcPr>
            <w:tcW w:w="7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辉瑞</w:t>
            </w:r>
          </w:p>
        </w:tc>
        <w:tc>
          <w:tcPr>
            <w:tcW w:w="10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肺癌</w:t>
            </w:r>
          </w:p>
        </w:tc>
        <w:tc>
          <w:tcPr>
            <w:tcW w:w="4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限用于表皮生长因子受体（EGFR）19号外显子缺失突变或21号外显子L858R置换突变的局部晚期或转移性非小细胞肺癌（NSCLC）患者的一线治疗。</w:t>
            </w:r>
          </w:p>
        </w:tc>
      </w:tr>
      <w:tr>
        <w:tblPrEx>
          <w:tblCellMar>
            <w:top w:w="0" w:type="dxa"/>
            <w:left w:w="0" w:type="dxa"/>
            <w:bottom w:w="0" w:type="dxa"/>
            <w:right w:w="113" w:type="dxa"/>
          </w:tblCellMar>
        </w:tblPrEx>
        <w:trPr>
          <w:trHeight w:val="720" w:hRule="atLeast"/>
        </w:trPr>
        <w:tc>
          <w:tcPr>
            <w:tcW w:w="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12</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贝美纳</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恩沙替尼</w:t>
            </w:r>
          </w:p>
        </w:tc>
        <w:tc>
          <w:tcPr>
            <w:tcW w:w="7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贝达</w:t>
            </w:r>
          </w:p>
        </w:tc>
        <w:tc>
          <w:tcPr>
            <w:tcW w:w="10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肺癌</w:t>
            </w:r>
          </w:p>
        </w:tc>
        <w:tc>
          <w:tcPr>
            <w:tcW w:w="4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限用于此前接受过克唑替尼治疗后进展的或者对克唑替尼不耐受的间变性淋巴瘤激酶（ALK）阳性的局部晚期或转移性非小细胞肺癌（NSCLC）患者。</w:t>
            </w:r>
          </w:p>
        </w:tc>
      </w:tr>
      <w:tr>
        <w:tblPrEx>
          <w:tblCellMar>
            <w:top w:w="0" w:type="dxa"/>
            <w:left w:w="0" w:type="dxa"/>
            <w:bottom w:w="0" w:type="dxa"/>
            <w:right w:w="113" w:type="dxa"/>
          </w:tblCellMar>
        </w:tblPrEx>
        <w:trPr>
          <w:trHeight w:val="680" w:hRule="atLeast"/>
        </w:trPr>
        <w:tc>
          <w:tcPr>
            <w:tcW w:w="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13</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爱必妥</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西妥昔单抗</w:t>
            </w:r>
          </w:p>
        </w:tc>
        <w:tc>
          <w:tcPr>
            <w:tcW w:w="7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默克</w:t>
            </w:r>
          </w:p>
        </w:tc>
        <w:tc>
          <w:tcPr>
            <w:tcW w:w="10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头颈癌</w:t>
            </w:r>
          </w:p>
        </w:tc>
        <w:tc>
          <w:tcPr>
            <w:tcW w:w="4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限用于与铂类和氟尿嘧啶化疗联合，用于一线治疗复发和/或转移性头颈部鳞状细胞癌（R/M SCCHN）。</w:t>
            </w:r>
          </w:p>
        </w:tc>
      </w:tr>
      <w:tr>
        <w:tblPrEx>
          <w:tblCellMar>
            <w:top w:w="0" w:type="dxa"/>
            <w:left w:w="0" w:type="dxa"/>
            <w:bottom w:w="0" w:type="dxa"/>
            <w:right w:w="113" w:type="dxa"/>
          </w:tblCellMar>
        </w:tblPrEx>
        <w:trPr>
          <w:trHeight w:val="740" w:hRule="atLeast"/>
        </w:trPr>
        <w:tc>
          <w:tcPr>
            <w:tcW w:w="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14</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赫赛莱</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恩美曲妥珠单抗</w:t>
            </w:r>
          </w:p>
        </w:tc>
        <w:tc>
          <w:tcPr>
            <w:tcW w:w="7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罗氏</w:t>
            </w:r>
          </w:p>
        </w:tc>
        <w:tc>
          <w:tcPr>
            <w:tcW w:w="10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乳腺癌</w:t>
            </w:r>
          </w:p>
        </w:tc>
        <w:tc>
          <w:tcPr>
            <w:tcW w:w="4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限用于接受了紫杉烷类联合曲妥珠单抗为基础的新辅助治疗后仍残存侵袭性病灶的HER2阳性早期乳腺癌患者的辅助治疗。</w:t>
            </w:r>
          </w:p>
        </w:tc>
      </w:tr>
      <w:tr>
        <w:tblPrEx>
          <w:tblCellMar>
            <w:top w:w="0" w:type="dxa"/>
            <w:left w:w="0" w:type="dxa"/>
            <w:bottom w:w="0" w:type="dxa"/>
            <w:right w:w="113" w:type="dxa"/>
          </w:tblCellMar>
        </w:tblPrEx>
        <w:trPr>
          <w:trHeight w:val="940" w:hRule="atLeast"/>
        </w:trPr>
        <w:tc>
          <w:tcPr>
            <w:tcW w:w="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15</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爱博新</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哌柏西利</w:t>
            </w:r>
          </w:p>
        </w:tc>
        <w:tc>
          <w:tcPr>
            <w:tcW w:w="7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辉瑞</w:t>
            </w:r>
          </w:p>
        </w:tc>
        <w:tc>
          <w:tcPr>
            <w:tcW w:w="10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乳腺癌</w:t>
            </w:r>
          </w:p>
        </w:tc>
        <w:tc>
          <w:tcPr>
            <w:tcW w:w="4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限用于激素受体（HR）阳性、人表皮生长因子受体2（HER2）阴性的局部晚期或转移性乳腺癌，应与芳香化酶抑制剂联合使用作为绝经后女性患者的初始内分泌治疗。</w:t>
            </w:r>
          </w:p>
        </w:tc>
      </w:tr>
      <w:tr>
        <w:tblPrEx>
          <w:tblCellMar>
            <w:top w:w="0" w:type="dxa"/>
            <w:left w:w="0" w:type="dxa"/>
            <w:bottom w:w="0" w:type="dxa"/>
            <w:right w:w="113" w:type="dxa"/>
          </w:tblCellMar>
        </w:tblPrEx>
        <w:trPr>
          <w:trHeight w:val="1098" w:hRule="atLeast"/>
        </w:trPr>
        <w:tc>
          <w:tcPr>
            <w:tcW w:w="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16</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安适利</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维布妥昔单抗</w:t>
            </w:r>
          </w:p>
        </w:tc>
        <w:tc>
          <w:tcPr>
            <w:tcW w:w="7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武田</w:t>
            </w:r>
          </w:p>
        </w:tc>
        <w:tc>
          <w:tcPr>
            <w:tcW w:w="10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淋巴瘤</w:t>
            </w:r>
          </w:p>
        </w:tc>
        <w:tc>
          <w:tcPr>
            <w:tcW w:w="4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限用于治疗以下CD30阳性淋巴瘤成人患者：复发或难治性系统性间变性大细胞淋巴瘤（sALCL）；复发或难治性经典型霍奇金淋巴瘤（cHL）。</w:t>
            </w:r>
          </w:p>
        </w:tc>
      </w:tr>
      <w:tr>
        <w:tblPrEx>
          <w:tblCellMar>
            <w:top w:w="0" w:type="dxa"/>
            <w:left w:w="0" w:type="dxa"/>
            <w:bottom w:w="0" w:type="dxa"/>
            <w:right w:w="113" w:type="dxa"/>
          </w:tblCellMar>
        </w:tblPrEx>
        <w:trPr>
          <w:trHeight w:val="832" w:hRule="atLeast"/>
        </w:trPr>
        <w:tc>
          <w:tcPr>
            <w:tcW w:w="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17</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宜诺凯</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奥布替尼</w:t>
            </w:r>
          </w:p>
        </w:tc>
        <w:tc>
          <w:tcPr>
            <w:tcW w:w="7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诺诚健华</w:t>
            </w:r>
          </w:p>
        </w:tc>
        <w:tc>
          <w:tcPr>
            <w:tcW w:w="10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淋巴瘤，白血病</w:t>
            </w:r>
          </w:p>
        </w:tc>
        <w:tc>
          <w:tcPr>
            <w:tcW w:w="4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320" w:lineRule="exact"/>
              <w:jc w:val="left"/>
              <w:textAlignment w:val="center"/>
              <w:rPr>
                <w:rFonts w:ascii="宋体" w:hAnsi="宋体" w:cs="宋体"/>
                <w:color w:val="000000"/>
                <w:sz w:val="20"/>
                <w:szCs w:val="20"/>
              </w:rPr>
            </w:pPr>
            <w:r>
              <w:rPr>
                <w:rStyle w:val="8"/>
                <w:rFonts w:hint="default"/>
                <w:lang w:bidi="ar"/>
              </w:rPr>
              <w:t>限用于：1. 既往至少接受过一种治疗的套细胞淋巴瘤患者的治疗。 2.</w:t>
            </w:r>
            <w:r>
              <w:rPr>
                <w:rStyle w:val="9"/>
                <w:rFonts w:hint="default"/>
                <w:lang w:bidi="ar"/>
              </w:rPr>
              <w:t xml:space="preserve"> </w:t>
            </w:r>
            <w:r>
              <w:rPr>
                <w:rStyle w:val="8"/>
                <w:rFonts w:hint="default"/>
                <w:lang w:bidi="ar"/>
              </w:rPr>
              <w:t>既往至少接受过一种治疗的慢性淋巴细胞白血病</w:t>
            </w:r>
            <w:r>
              <w:rPr>
                <w:rStyle w:val="9"/>
                <w:rFonts w:hint="default"/>
                <w:lang w:bidi="ar"/>
              </w:rPr>
              <w:t>/</w:t>
            </w:r>
            <w:r>
              <w:rPr>
                <w:rStyle w:val="8"/>
                <w:rFonts w:hint="default"/>
                <w:lang w:bidi="ar"/>
              </w:rPr>
              <w:t>小淋巴细胞淋巴瘤患者的治疗。</w:t>
            </w:r>
          </w:p>
        </w:tc>
      </w:tr>
      <w:tr>
        <w:tblPrEx>
          <w:tblCellMar>
            <w:top w:w="0" w:type="dxa"/>
            <w:left w:w="0" w:type="dxa"/>
            <w:bottom w:w="0" w:type="dxa"/>
            <w:right w:w="113" w:type="dxa"/>
          </w:tblCellMar>
        </w:tblPrEx>
        <w:trPr>
          <w:trHeight w:val="1065" w:hRule="atLeast"/>
        </w:trPr>
        <w:tc>
          <w:tcPr>
            <w:tcW w:w="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18</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sz w:val="20"/>
                <w:szCs w:val="20"/>
              </w:rPr>
              <w:t>兆珂</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达雷妥尤单抗</w:t>
            </w:r>
          </w:p>
        </w:tc>
        <w:tc>
          <w:tcPr>
            <w:tcW w:w="7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西安杨森</w:t>
            </w:r>
          </w:p>
        </w:tc>
        <w:tc>
          <w:tcPr>
            <w:tcW w:w="10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多发性骨髓瘤</w:t>
            </w:r>
          </w:p>
        </w:tc>
        <w:tc>
          <w:tcPr>
            <w:tcW w:w="4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限用于单药治疗复发和难治性多发性骨髓瘤成年患者，患者既往接受过包括蛋白酶体抑制剂和免疫调节剂的治疗且最后一次治疗时出现疾病进展。</w:t>
            </w:r>
          </w:p>
        </w:tc>
      </w:tr>
      <w:tr>
        <w:tblPrEx>
          <w:tblCellMar>
            <w:top w:w="0" w:type="dxa"/>
            <w:left w:w="0" w:type="dxa"/>
            <w:bottom w:w="0" w:type="dxa"/>
            <w:right w:w="113" w:type="dxa"/>
          </w:tblCellMar>
        </w:tblPrEx>
        <w:trPr>
          <w:trHeight w:val="762" w:hRule="atLeast"/>
        </w:trPr>
        <w:tc>
          <w:tcPr>
            <w:tcW w:w="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19</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乐卫玛</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仑伐替尼</w:t>
            </w:r>
          </w:p>
        </w:tc>
        <w:tc>
          <w:tcPr>
            <w:tcW w:w="7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卫材</w:t>
            </w:r>
          </w:p>
        </w:tc>
        <w:tc>
          <w:tcPr>
            <w:tcW w:w="10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甲状腺癌</w:t>
            </w:r>
          </w:p>
        </w:tc>
        <w:tc>
          <w:tcPr>
            <w:tcW w:w="4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限用于治疗局部复发或转移的进展性的放射性碘难治性分化型甲状腺癌。</w:t>
            </w:r>
          </w:p>
        </w:tc>
      </w:tr>
      <w:tr>
        <w:tblPrEx>
          <w:tblCellMar>
            <w:top w:w="0" w:type="dxa"/>
            <w:left w:w="0" w:type="dxa"/>
            <w:bottom w:w="0" w:type="dxa"/>
            <w:right w:w="113" w:type="dxa"/>
          </w:tblCellMar>
        </w:tblPrEx>
        <w:trPr>
          <w:trHeight w:val="889" w:hRule="atLeast"/>
        </w:trPr>
        <w:tc>
          <w:tcPr>
            <w:tcW w:w="5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20</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可瑞达</w:t>
            </w:r>
          </w:p>
        </w:tc>
        <w:tc>
          <w:tcPr>
            <w:tcW w:w="1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帕博利珠单抗</w:t>
            </w:r>
          </w:p>
        </w:tc>
        <w:tc>
          <w:tcPr>
            <w:tcW w:w="7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默沙东</w:t>
            </w:r>
          </w:p>
        </w:tc>
        <w:tc>
          <w:tcPr>
            <w:tcW w:w="10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color w:val="000000"/>
                <w:sz w:val="20"/>
                <w:szCs w:val="20"/>
                <w:lang w:eastAsia="zh-CN"/>
              </w:rPr>
            </w:pPr>
            <w:r>
              <w:rPr>
                <w:rFonts w:hint="eastAsia" w:ascii="宋体" w:hAnsi="宋体" w:cs="宋体"/>
                <w:color w:val="000000"/>
                <w:kern w:val="0"/>
                <w:sz w:val="20"/>
                <w:szCs w:val="20"/>
                <w:lang w:bidi="ar"/>
              </w:rPr>
              <w:t>黑色素瘤、</w:t>
            </w:r>
            <w:r>
              <w:rPr>
                <w:rFonts w:hint="eastAsia" w:ascii="宋体" w:hAnsi="宋体" w:cs="宋体"/>
                <w:color w:val="000000"/>
                <w:kern w:val="0"/>
                <w:sz w:val="20"/>
                <w:szCs w:val="20"/>
                <w:lang w:val="en-US" w:eastAsia="zh-CN" w:bidi="ar"/>
              </w:rPr>
              <w:t>食管癌</w:t>
            </w:r>
          </w:p>
        </w:tc>
        <w:tc>
          <w:tcPr>
            <w:tcW w:w="42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限</w:t>
            </w:r>
            <w:r>
              <w:rPr>
                <w:rFonts w:hint="eastAsia" w:ascii="宋体" w:hAnsi="宋体" w:cs="宋体"/>
                <w:color w:val="000000"/>
                <w:kern w:val="0"/>
                <w:sz w:val="20"/>
                <w:szCs w:val="20"/>
                <w:lang w:val="en-US" w:eastAsia="zh-CN" w:bidi="ar"/>
              </w:rPr>
              <w:t>用于：</w:t>
            </w:r>
            <w:r>
              <w:rPr>
                <w:rStyle w:val="8"/>
                <w:rFonts w:hint="default"/>
                <w:lang w:bidi="ar"/>
              </w:rPr>
              <w:t>1.</w:t>
            </w:r>
            <w:r>
              <w:rPr>
                <w:rFonts w:hint="eastAsia" w:ascii="宋体" w:hAnsi="宋体" w:cs="宋体"/>
                <w:color w:val="000000"/>
                <w:kern w:val="0"/>
                <w:sz w:val="20"/>
                <w:szCs w:val="20"/>
                <w:lang w:bidi="ar"/>
              </w:rPr>
              <w:t>经一线治疗失败的不可切除或转移性黑色素瘤的治疗。</w:t>
            </w:r>
            <w:r>
              <w:rPr>
                <w:rStyle w:val="8"/>
                <w:rFonts w:hint="default"/>
                <w:lang w:bidi="ar"/>
              </w:rPr>
              <w:t>2.</w:t>
            </w:r>
            <w:r>
              <w:rPr>
                <w:rFonts w:hint="eastAsia" w:ascii="宋体" w:hAnsi="宋体" w:cs="宋体"/>
                <w:color w:val="000000"/>
                <w:kern w:val="0"/>
                <w:sz w:val="20"/>
                <w:szCs w:val="20"/>
                <w:lang w:bidi="ar"/>
              </w:rPr>
              <w:t>限既往一线全身治疗失败的、局部晚期或转移性食管鳞状细胞癌患者的治疗。</w:t>
            </w:r>
          </w:p>
        </w:tc>
      </w:tr>
    </w:tbl>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keepNext w:val="0"/>
        <w:keepLines w:val="0"/>
        <w:pageBreakBefore w:val="0"/>
        <w:widowControl w:val="0"/>
        <w:kinsoku/>
        <w:wordWrap/>
        <w:overflowPunct/>
        <w:topLinePunct w:val="0"/>
        <w:bidi w:val="0"/>
        <w:snapToGrid/>
        <w:spacing w:line="440" w:lineRule="exact"/>
        <w:jc w:val="center"/>
        <w:textAlignment w:val="auto"/>
        <w:rPr>
          <w:rFonts w:ascii="Times New Roman" w:hAnsi="Times New Roman" w:cs="Times New Roman"/>
        </w:rPr>
      </w:pPr>
      <w:r>
        <w:rPr>
          <w:rFonts w:eastAsia="华文中宋"/>
          <w:b/>
          <w:bCs/>
          <w:sz w:val="36"/>
          <w:szCs w:val="36"/>
        </w:rPr>
        <w:t>“越惠保”健康增值服务项目</w:t>
      </w:r>
    </w:p>
    <w:p>
      <w:pPr>
        <w:keepNext w:val="0"/>
        <w:keepLines w:val="0"/>
        <w:pageBreakBefore w:val="0"/>
        <w:widowControl w:val="0"/>
        <w:kinsoku/>
        <w:wordWrap/>
        <w:overflowPunct/>
        <w:topLinePunct w:val="0"/>
        <w:bidi w:val="0"/>
        <w:snapToGrid/>
        <w:spacing w:line="440" w:lineRule="exact"/>
        <w:ind w:firstLine="640" w:firstLineChars="200"/>
        <w:textAlignment w:val="auto"/>
        <w:rPr>
          <w:rFonts w:eastAsia="仿宋_GB2312"/>
          <w:sz w:val="32"/>
          <w:szCs w:val="32"/>
        </w:rPr>
      </w:pPr>
      <w:r>
        <w:rPr>
          <w:rFonts w:eastAsia="仿宋_GB2312"/>
          <w:sz w:val="32"/>
          <w:szCs w:val="32"/>
        </w:rPr>
        <w:t xml:space="preserve"> “越惠保”作为绍兴首款定制型商业补充医疗保险，将向被保险人提供以下健康增值服务：</w:t>
      </w:r>
    </w:p>
    <w:p>
      <w:pPr>
        <w:keepNext w:val="0"/>
        <w:keepLines w:val="0"/>
        <w:pageBreakBefore w:val="0"/>
        <w:widowControl w:val="0"/>
        <w:kinsoku/>
        <w:wordWrap/>
        <w:overflowPunct/>
        <w:topLinePunct w:val="0"/>
        <w:bidi w:val="0"/>
        <w:snapToGrid/>
        <w:spacing w:line="440" w:lineRule="exact"/>
        <w:ind w:firstLine="640" w:firstLineChars="200"/>
        <w:textAlignment w:val="auto"/>
        <w:rPr>
          <w:rFonts w:eastAsia="黑体"/>
          <w:sz w:val="32"/>
          <w:szCs w:val="32"/>
        </w:rPr>
      </w:pPr>
      <w:r>
        <w:rPr>
          <w:rFonts w:eastAsia="黑体"/>
          <w:sz w:val="32"/>
          <w:szCs w:val="32"/>
        </w:rPr>
        <w:t>1．药店购药直付</w:t>
      </w:r>
    </w:p>
    <w:p>
      <w:pPr>
        <w:keepNext w:val="0"/>
        <w:keepLines w:val="0"/>
        <w:pageBreakBefore w:val="0"/>
        <w:widowControl w:val="0"/>
        <w:kinsoku/>
        <w:wordWrap/>
        <w:overflowPunct/>
        <w:topLinePunct w:val="0"/>
        <w:bidi w:val="0"/>
        <w:snapToGrid/>
        <w:spacing w:line="440" w:lineRule="exact"/>
        <w:ind w:firstLine="640" w:firstLineChars="200"/>
        <w:textAlignment w:val="auto"/>
        <w:rPr>
          <w:rFonts w:eastAsia="仿宋_GB2312"/>
          <w:sz w:val="32"/>
          <w:szCs w:val="32"/>
        </w:rPr>
      </w:pPr>
      <w:r>
        <w:rPr>
          <w:rFonts w:eastAsia="仿宋_GB2312"/>
          <w:sz w:val="32"/>
          <w:szCs w:val="32"/>
        </w:rPr>
        <w:t xml:space="preserve">当被保险人罹患重特大疾病并满足高额外购自费药品费用理赔标准时，若在指定药店购买越惠保高额外购自费药品，我们将在被保险人的授权下直接与药店结算理赔款，被保险人仅须支付剩余自费金额即可购药。 </w:t>
      </w:r>
    </w:p>
    <w:p>
      <w:pPr>
        <w:keepNext w:val="0"/>
        <w:keepLines w:val="0"/>
        <w:pageBreakBefore w:val="0"/>
        <w:widowControl w:val="0"/>
        <w:kinsoku/>
        <w:wordWrap/>
        <w:overflowPunct/>
        <w:topLinePunct w:val="0"/>
        <w:bidi w:val="0"/>
        <w:snapToGrid/>
        <w:spacing w:line="440" w:lineRule="exact"/>
        <w:ind w:firstLine="640" w:firstLineChars="200"/>
        <w:textAlignment w:val="auto"/>
        <w:rPr>
          <w:rFonts w:eastAsia="黑体"/>
          <w:sz w:val="32"/>
          <w:szCs w:val="32"/>
        </w:rPr>
      </w:pPr>
      <w:r>
        <w:rPr>
          <w:rFonts w:eastAsia="黑体"/>
          <w:sz w:val="32"/>
          <w:szCs w:val="32"/>
        </w:rPr>
        <w:t>2．援助用药申请指导服务（PAP）</w:t>
      </w:r>
    </w:p>
    <w:p>
      <w:pPr>
        <w:keepNext w:val="0"/>
        <w:keepLines w:val="0"/>
        <w:pageBreakBefore w:val="0"/>
        <w:widowControl w:val="0"/>
        <w:kinsoku/>
        <w:wordWrap/>
        <w:overflowPunct/>
        <w:topLinePunct w:val="0"/>
        <w:bidi w:val="0"/>
        <w:snapToGrid/>
        <w:spacing w:line="440" w:lineRule="exact"/>
        <w:ind w:firstLine="640" w:firstLineChars="200"/>
        <w:textAlignment w:val="auto"/>
        <w:rPr>
          <w:rFonts w:eastAsia="仿宋_GB2312"/>
          <w:sz w:val="32"/>
          <w:szCs w:val="32"/>
        </w:rPr>
      </w:pPr>
      <w:r>
        <w:rPr>
          <w:rFonts w:eastAsia="仿宋_GB2312"/>
          <w:sz w:val="32"/>
          <w:szCs w:val="32"/>
        </w:rPr>
        <w:t xml:space="preserve">当被保险人满足高额外购自费药品费用理赔标准时，指定供应商可以为有申请慈善援助用药需求且符合申请条件的被保险人，提供慈善援助用药申请协助服务。 </w:t>
      </w:r>
    </w:p>
    <w:p>
      <w:pPr>
        <w:keepNext w:val="0"/>
        <w:keepLines w:val="0"/>
        <w:pageBreakBefore w:val="0"/>
        <w:widowControl w:val="0"/>
        <w:kinsoku/>
        <w:wordWrap/>
        <w:overflowPunct/>
        <w:topLinePunct w:val="0"/>
        <w:bidi w:val="0"/>
        <w:snapToGrid/>
        <w:spacing w:line="440" w:lineRule="exact"/>
        <w:ind w:firstLine="640" w:firstLineChars="200"/>
        <w:textAlignment w:val="auto"/>
        <w:rPr>
          <w:rFonts w:eastAsia="黑体"/>
          <w:sz w:val="32"/>
          <w:szCs w:val="32"/>
        </w:rPr>
      </w:pPr>
      <w:r>
        <w:rPr>
          <w:rFonts w:eastAsia="黑体"/>
          <w:sz w:val="32"/>
          <w:szCs w:val="32"/>
        </w:rPr>
        <w:t>3．国内预约购药及配送服务</w:t>
      </w:r>
    </w:p>
    <w:p>
      <w:pPr>
        <w:keepNext w:val="0"/>
        <w:keepLines w:val="0"/>
        <w:pageBreakBefore w:val="0"/>
        <w:widowControl w:val="0"/>
        <w:kinsoku/>
        <w:wordWrap/>
        <w:overflowPunct/>
        <w:topLinePunct w:val="0"/>
        <w:bidi w:val="0"/>
        <w:snapToGrid/>
        <w:spacing w:line="440" w:lineRule="exact"/>
        <w:ind w:firstLine="640" w:firstLineChars="200"/>
        <w:textAlignment w:val="auto"/>
        <w:rPr>
          <w:rFonts w:eastAsia="仿宋_GB2312"/>
          <w:sz w:val="32"/>
          <w:szCs w:val="32"/>
        </w:rPr>
      </w:pPr>
      <w:r>
        <w:rPr>
          <w:rFonts w:eastAsia="仿宋_GB2312"/>
          <w:sz w:val="32"/>
          <w:szCs w:val="32"/>
        </w:rPr>
        <w:t>若被保险人满足高额外购自费药品费用理赔标准，在申请理赔服务审核通过后，可以选择国内预约购药及配送服务。指定供应商安排有资质的专业人员为被保险人提供指定药店的药品配送服务。送药上门后，客户需在身份信息、处方及购药凭证等经确认无误核销后方可领取购买药品，以确保药品安全性。</w:t>
      </w:r>
    </w:p>
    <w:p>
      <w:pPr>
        <w:keepNext w:val="0"/>
        <w:keepLines w:val="0"/>
        <w:pageBreakBefore w:val="0"/>
        <w:widowControl w:val="0"/>
        <w:kinsoku/>
        <w:wordWrap/>
        <w:overflowPunct/>
        <w:topLinePunct w:val="0"/>
        <w:bidi w:val="0"/>
        <w:snapToGrid/>
        <w:spacing w:line="440" w:lineRule="exact"/>
        <w:ind w:firstLine="640" w:firstLineChars="200"/>
        <w:textAlignment w:val="auto"/>
        <w:rPr>
          <w:rFonts w:eastAsia="黑体"/>
          <w:sz w:val="32"/>
          <w:szCs w:val="32"/>
        </w:rPr>
      </w:pPr>
      <w:r>
        <w:rPr>
          <w:rFonts w:eastAsia="黑体"/>
          <w:sz w:val="32"/>
          <w:szCs w:val="32"/>
        </w:rPr>
        <w:t>4．肿瘤基因检测优惠</w:t>
      </w:r>
    </w:p>
    <w:p>
      <w:pPr>
        <w:keepNext w:val="0"/>
        <w:keepLines w:val="0"/>
        <w:pageBreakBefore w:val="0"/>
        <w:widowControl w:val="0"/>
        <w:kinsoku/>
        <w:wordWrap/>
        <w:overflowPunct/>
        <w:topLinePunct w:val="0"/>
        <w:bidi w:val="0"/>
        <w:snapToGrid/>
        <w:spacing w:line="440" w:lineRule="exact"/>
        <w:ind w:firstLine="640" w:firstLineChars="200"/>
        <w:textAlignment w:val="auto"/>
        <w:rPr>
          <w:rFonts w:eastAsia="仿宋_GB2312"/>
          <w:sz w:val="32"/>
          <w:szCs w:val="32"/>
        </w:rPr>
      </w:pPr>
      <w:r>
        <w:rPr>
          <w:rFonts w:eastAsia="仿宋_GB2312"/>
          <w:sz w:val="32"/>
          <w:szCs w:val="32"/>
        </w:rPr>
        <w:t>每个肿瘤都是独一无二的，并随时间而改变，因此肿瘤治疗方案也应该是独一无二的个体化诊疗。罗氏FoundationOne®CDx基因检测覆盖了324个基因，足够指导现有全部的靶向治疗，相较热点检测，常见靶点不漏检，罕见靶点可检出。当被保险人申请罗氏FoundationOne®CDx基因检测服务时，优惠4800元（“越惠保”参保人专享）。</w:t>
      </w:r>
    </w:p>
    <w:p>
      <w:pPr>
        <w:keepNext w:val="0"/>
        <w:keepLines w:val="0"/>
        <w:pageBreakBefore w:val="0"/>
        <w:widowControl w:val="0"/>
        <w:kinsoku/>
        <w:wordWrap/>
        <w:overflowPunct/>
        <w:topLinePunct w:val="0"/>
        <w:bidi w:val="0"/>
        <w:snapToGrid/>
        <w:spacing w:line="440" w:lineRule="exact"/>
        <w:ind w:firstLine="640" w:firstLineChars="200"/>
        <w:textAlignment w:val="auto"/>
        <w:rPr>
          <w:rFonts w:eastAsia="黑体"/>
          <w:sz w:val="32"/>
          <w:szCs w:val="32"/>
        </w:rPr>
      </w:pPr>
      <w:r>
        <w:rPr>
          <w:rFonts w:eastAsia="黑体"/>
          <w:sz w:val="32"/>
          <w:szCs w:val="32"/>
        </w:rPr>
        <w:t>5．重大疾病早筛服务</w:t>
      </w:r>
    </w:p>
    <w:p>
      <w:pPr>
        <w:keepNext w:val="0"/>
        <w:keepLines w:val="0"/>
        <w:pageBreakBefore w:val="0"/>
        <w:widowControl w:val="0"/>
        <w:kinsoku/>
        <w:wordWrap/>
        <w:overflowPunct/>
        <w:topLinePunct w:val="0"/>
        <w:bidi w:val="0"/>
        <w:snapToGrid/>
        <w:spacing w:line="440" w:lineRule="exact"/>
        <w:ind w:firstLine="640" w:firstLineChars="200"/>
        <w:textAlignment w:val="auto"/>
      </w:pPr>
      <w:r>
        <w:rPr>
          <w:rFonts w:eastAsia="仿宋_GB2312"/>
          <w:sz w:val="32"/>
          <w:szCs w:val="32"/>
        </w:rPr>
        <w:t>指定供应商为被保险人提供重大疾病早筛服务，根据被保险人填写的内容反馈相应的风险和体检建议，使被保险人尽早发现疾病，尽早治疗，减少轻症发展为重症带来的病痛折磨及经济负担。</w:t>
      </w:r>
      <w:bookmarkStart w:id="2" w:name="_GoBack"/>
      <w:bookmarkEnd w:id="2"/>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华文中宋">
    <w:panose1 w:val="02010600040101010101"/>
    <w:charset w:val="86"/>
    <w:family w:val="auto"/>
    <w:pitch w:val="default"/>
    <w:sig w:usb0="00000287" w:usb1="080F0000" w:usb2="00000000" w:usb3="00000000" w:csb0="0004009F" w:csb1="DFD70000"/>
  </w:font>
  <w:font w:name="Microsoft YaHei UI">
    <w:panose1 w:val="020B0503020204020204"/>
    <w:charset w:val="86"/>
    <w:family w:val="swiss"/>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5E26720"/>
    <w:rsid w:val="6D6113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customStyle="1" w:styleId="2">
    <w:name w:val="Default"/>
    <w:qFormat/>
    <w:uiPriority w:val="99"/>
    <w:pPr>
      <w:widowControl w:val="0"/>
      <w:autoSpaceDE w:val="0"/>
      <w:autoSpaceDN w:val="0"/>
      <w:adjustRightInd w:val="0"/>
    </w:pPr>
    <w:rPr>
      <w:rFonts w:ascii="Calibri" w:hAnsi="Calibri" w:eastAsia="微软雅黑" w:cs="Calibri"/>
      <w:color w:val="000000"/>
      <w:sz w:val="24"/>
      <w:szCs w:val="24"/>
      <w:lang w:val="en-US" w:eastAsia="zh-CN" w:bidi="ar-SA"/>
    </w:rPr>
  </w:style>
  <w:style w:type="paragraph" w:styleId="3">
    <w:name w:val="footer"/>
    <w:basedOn w:val="1"/>
    <w:qFormat/>
    <w:uiPriority w:val="99"/>
    <w:pPr>
      <w:tabs>
        <w:tab w:val="center" w:pos="4153"/>
        <w:tab w:val="right" w:pos="8306"/>
      </w:tabs>
      <w:snapToGrid w:val="0"/>
      <w:jc w:val="left"/>
    </w:pPr>
    <w:rPr>
      <w:sz w:val="18"/>
    </w:rPr>
  </w:style>
  <w:style w:type="character" w:customStyle="1" w:styleId="6">
    <w:name w:val="font31"/>
    <w:basedOn w:val="5"/>
    <w:qFormat/>
    <w:uiPriority w:val="0"/>
    <w:rPr>
      <w:rFonts w:hint="eastAsia" w:ascii="宋体" w:hAnsi="宋体" w:eastAsia="宋体" w:cs="宋体"/>
      <w:color w:val="000000"/>
      <w:sz w:val="20"/>
      <w:szCs w:val="20"/>
      <w:u w:val="none"/>
    </w:rPr>
  </w:style>
  <w:style w:type="character" w:customStyle="1" w:styleId="7">
    <w:name w:val="font41"/>
    <w:basedOn w:val="5"/>
    <w:qFormat/>
    <w:uiPriority w:val="0"/>
    <w:rPr>
      <w:rFonts w:hint="eastAsia" w:ascii="Microsoft YaHei UI" w:hAnsi="Microsoft YaHei UI" w:eastAsia="Microsoft YaHei UI" w:cs="Microsoft YaHei UI"/>
      <w:color w:val="000000"/>
      <w:sz w:val="20"/>
      <w:szCs w:val="20"/>
      <w:u w:val="none"/>
    </w:rPr>
  </w:style>
  <w:style w:type="character" w:customStyle="1" w:styleId="8">
    <w:name w:val="font11"/>
    <w:basedOn w:val="5"/>
    <w:qFormat/>
    <w:uiPriority w:val="0"/>
    <w:rPr>
      <w:rFonts w:hint="eastAsia" w:ascii="宋体" w:hAnsi="宋体" w:eastAsia="宋体" w:cs="宋体"/>
      <w:color w:val="000000"/>
      <w:sz w:val="20"/>
      <w:szCs w:val="20"/>
      <w:u w:val="none"/>
    </w:rPr>
  </w:style>
  <w:style w:type="character" w:customStyle="1" w:styleId="9">
    <w:name w:val="font01"/>
    <w:basedOn w:val="5"/>
    <w:qFormat/>
    <w:uiPriority w:val="0"/>
    <w:rPr>
      <w:rFonts w:hint="eastAsia" w:ascii="Microsoft YaHei UI" w:hAnsi="Microsoft YaHei UI" w:eastAsia="Microsoft YaHei UI" w:cs="Microsoft YaHei UI"/>
      <w:color w:val="000000"/>
      <w:sz w:val="20"/>
      <w:szCs w:val="2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2021-01-04T08:25:00Z</dcterms:created>
  <dc:creator>Administrator</dc:creator>
  <cp:lastModifiedBy>远方</cp:lastModifiedBy>
  <dcterms:modified xsi:type="dcterms:W3CDTF">2021-01-04T09:08:39Z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